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8E4E5" w14:textId="63926D30" w:rsidR="00673D04" w:rsidRDefault="00393D3A" w:rsidP="00A03816">
      <w:pPr>
        <w:pStyle w:val="CRCoverPage"/>
        <w:spacing w:after="0"/>
        <w:rPr>
          <w:b/>
          <w:bCs/>
          <w:sz w:val="24"/>
          <w:szCs w:val="24"/>
          <w:lang w:val="en-GB"/>
        </w:rPr>
      </w:pPr>
      <w:r>
        <w:rPr>
          <w:b/>
          <w:bCs/>
          <w:sz w:val="24"/>
          <w:szCs w:val="24"/>
          <w:lang w:val="en-GB"/>
        </w:rPr>
        <w:t>3GPP TSG RAN1 Meeting #93</w:t>
      </w:r>
      <w:r w:rsidR="00673D04">
        <w:rPr>
          <w:b/>
          <w:bCs/>
          <w:sz w:val="24"/>
          <w:szCs w:val="24"/>
          <w:lang w:val="en-GB"/>
        </w:rPr>
        <w:t>                                                  </w:t>
      </w:r>
      <w:r w:rsidR="00F642E9">
        <w:rPr>
          <w:b/>
          <w:bCs/>
          <w:sz w:val="24"/>
          <w:szCs w:val="24"/>
          <w:lang w:val="en-GB"/>
        </w:rPr>
        <w:t xml:space="preserve">                  </w:t>
      </w:r>
      <w:r w:rsidR="003E6FBC" w:rsidRPr="003E6FBC">
        <w:rPr>
          <w:b/>
          <w:bCs/>
          <w:sz w:val="24"/>
          <w:szCs w:val="24"/>
          <w:lang w:val="en-GB"/>
        </w:rPr>
        <w:t>R1-1807864</w:t>
      </w:r>
    </w:p>
    <w:p w14:paraId="78F2046C" w14:textId="717AC7EF" w:rsidR="00673D04" w:rsidRDefault="00E204A2" w:rsidP="00673D04">
      <w:pPr>
        <w:pStyle w:val="CRCoverPage"/>
        <w:spacing w:after="0"/>
        <w:rPr>
          <w:b/>
          <w:bCs/>
          <w:sz w:val="24"/>
          <w:szCs w:val="24"/>
          <w:lang w:val="en-GB"/>
        </w:rPr>
      </w:pPr>
      <w:proofErr w:type="spellStart"/>
      <w:r>
        <w:rPr>
          <w:b/>
          <w:bCs/>
          <w:sz w:val="24"/>
          <w:szCs w:val="24"/>
          <w:lang w:val="en-GB"/>
        </w:rPr>
        <w:t>Busan</w:t>
      </w:r>
      <w:proofErr w:type="spellEnd"/>
      <w:r>
        <w:rPr>
          <w:b/>
          <w:bCs/>
          <w:sz w:val="24"/>
          <w:szCs w:val="24"/>
          <w:lang w:val="en-GB"/>
        </w:rPr>
        <w:t>, Korea</w:t>
      </w:r>
      <w:r w:rsidR="00F0626C">
        <w:rPr>
          <w:b/>
          <w:bCs/>
          <w:sz w:val="24"/>
          <w:szCs w:val="24"/>
          <w:lang w:val="en-GB"/>
        </w:rPr>
        <w:t>, 21</w:t>
      </w:r>
      <w:r w:rsidR="00F0626C" w:rsidRPr="00F0626C">
        <w:rPr>
          <w:b/>
          <w:bCs/>
          <w:sz w:val="24"/>
          <w:szCs w:val="24"/>
          <w:vertAlign w:val="superscript"/>
          <w:lang w:val="en-GB"/>
        </w:rPr>
        <w:t>st</w:t>
      </w:r>
      <w:r w:rsidR="00F0626C">
        <w:rPr>
          <w:b/>
          <w:bCs/>
          <w:sz w:val="24"/>
          <w:szCs w:val="24"/>
          <w:lang w:val="en-GB"/>
        </w:rPr>
        <w:t xml:space="preserve"> May – 25</w:t>
      </w:r>
      <w:r w:rsidR="00393D3A" w:rsidRPr="00393D3A">
        <w:rPr>
          <w:b/>
          <w:bCs/>
          <w:sz w:val="24"/>
          <w:szCs w:val="24"/>
          <w:vertAlign w:val="superscript"/>
          <w:lang w:val="en-GB"/>
        </w:rPr>
        <w:t>th</w:t>
      </w:r>
      <w:r w:rsidR="00F0626C">
        <w:rPr>
          <w:b/>
          <w:bCs/>
          <w:sz w:val="24"/>
          <w:szCs w:val="24"/>
          <w:lang w:val="en-GB"/>
        </w:rPr>
        <w:t xml:space="preserve"> May</w:t>
      </w:r>
      <w:r w:rsidR="00393D3A">
        <w:rPr>
          <w:b/>
          <w:bCs/>
          <w:sz w:val="24"/>
          <w:szCs w:val="24"/>
          <w:lang w:val="en-GB"/>
        </w:rPr>
        <w:t xml:space="preserve"> 2018</w:t>
      </w:r>
    </w:p>
    <w:p w14:paraId="77A09E43" w14:textId="77777777" w:rsidR="00673D04" w:rsidRDefault="00673D04" w:rsidP="00673D04">
      <w:pPr>
        <w:pStyle w:val="TdocHeader2"/>
        <w:rPr>
          <w:bCs/>
          <w:sz w:val="20"/>
        </w:rPr>
      </w:pPr>
    </w:p>
    <w:p w14:paraId="67E47A6E" w14:textId="3B641C1F" w:rsidR="00673D04" w:rsidRDefault="00673D04" w:rsidP="00673D04">
      <w:pPr>
        <w:pStyle w:val="TdocHeader2"/>
        <w:rPr>
          <w:sz w:val="20"/>
          <w:lang w:val="en-US"/>
        </w:rPr>
      </w:pPr>
      <w:r>
        <w:rPr>
          <w:sz w:val="20"/>
        </w:rPr>
        <w:t>Source:</w:t>
      </w:r>
      <w:r w:rsidR="00412189">
        <w:rPr>
          <w:sz w:val="20"/>
        </w:rPr>
        <w:tab/>
        <w:t>Thales</w:t>
      </w:r>
      <w:r w:rsidR="00085C5F">
        <w:rPr>
          <w:sz w:val="20"/>
        </w:rPr>
        <w:t xml:space="preserve">, </w:t>
      </w:r>
      <w:bookmarkStart w:id="0" w:name="_GoBack"/>
      <w:bookmarkEnd w:id="0"/>
      <w:r w:rsidR="00381B32">
        <w:rPr>
          <w:sz w:val="20"/>
        </w:rPr>
        <w:t>IDC</w:t>
      </w:r>
    </w:p>
    <w:p w14:paraId="4339C52C" w14:textId="22DB6918" w:rsidR="00673D04" w:rsidRDefault="00412189" w:rsidP="00673D04">
      <w:pPr>
        <w:pStyle w:val="TdocHeader2"/>
        <w:rPr>
          <w:sz w:val="20"/>
        </w:rPr>
      </w:pPr>
      <w:r>
        <w:rPr>
          <w:sz w:val="20"/>
        </w:rPr>
        <w:t>Title:</w:t>
      </w:r>
      <w:r>
        <w:rPr>
          <w:sz w:val="20"/>
        </w:rPr>
        <w:tab/>
      </w:r>
      <w:r w:rsidR="00D06BC1">
        <w:rPr>
          <w:sz w:val="20"/>
        </w:rPr>
        <w:t xml:space="preserve">NR-NTN: </w:t>
      </w:r>
      <w:r w:rsidR="00811666">
        <w:rPr>
          <w:sz w:val="20"/>
        </w:rPr>
        <w:t>solution principles</w:t>
      </w:r>
      <w:r w:rsidR="003E6FBC">
        <w:rPr>
          <w:sz w:val="20"/>
        </w:rPr>
        <w:t xml:space="preserve"> for NR to support non-terrestrial networks</w:t>
      </w:r>
    </w:p>
    <w:p w14:paraId="1A4E0274" w14:textId="12C0B9AB" w:rsidR="00673D04" w:rsidRDefault="00412189" w:rsidP="00673D04">
      <w:pPr>
        <w:pStyle w:val="TdocHeader2"/>
        <w:rPr>
          <w:sz w:val="20"/>
        </w:rPr>
      </w:pPr>
      <w:r>
        <w:rPr>
          <w:sz w:val="20"/>
        </w:rPr>
        <w:t>TDOC Type:</w:t>
      </w:r>
      <w:r>
        <w:rPr>
          <w:sz w:val="20"/>
        </w:rPr>
        <w:tab/>
      </w:r>
      <w:r w:rsidR="00811666">
        <w:rPr>
          <w:sz w:val="20"/>
        </w:rPr>
        <w:t>Discussion</w:t>
      </w:r>
    </w:p>
    <w:p w14:paraId="3DC0CAF9" w14:textId="3FD34CD8" w:rsidR="00673D04" w:rsidRPr="00412189" w:rsidRDefault="00412189" w:rsidP="00673D04">
      <w:pPr>
        <w:pStyle w:val="TdocHeader2"/>
        <w:rPr>
          <w:sz w:val="20"/>
        </w:rPr>
      </w:pPr>
      <w:r>
        <w:rPr>
          <w:sz w:val="20"/>
        </w:rPr>
        <w:t>Agenda Item:</w:t>
      </w:r>
      <w:r>
        <w:rPr>
          <w:sz w:val="20"/>
        </w:rPr>
        <w:tab/>
      </w:r>
      <w:r w:rsidR="00D70E12" w:rsidRPr="00412189">
        <w:rPr>
          <w:sz w:val="20"/>
        </w:rPr>
        <w:t>7.3.2</w:t>
      </w:r>
    </w:p>
    <w:p w14:paraId="28377A17" w14:textId="069F7EB6" w:rsidR="00673D04" w:rsidRDefault="00412189" w:rsidP="00673D04">
      <w:pPr>
        <w:pStyle w:val="TdocHeader2"/>
        <w:rPr>
          <w:sz w:val="20"/>
          <w:lang w:val="en-US"/>
        </w:rPr>
      </w:pPr>
      <w:r>
        <w:rPr>
          <w:sz w:val="20"/>
        </w:rPr>
        <w:t>Document for:</w:t>
      </w:r>
      <w:r>
        <w:rPr>
          <w:sz w:val="20"/>
        </w:rPr>
        <w:tab/>
      </w:r>
      <w:r w:rsidR="00811666">
        <w:rPr>
          <w:sz w:val="20"/>
        </w:rPr>
        <w:t>Information</w:t>
      </w:r>
    </w:p>
    <w:p w14:paraId="67E34D1D" w14:textId="326B767C" w:rsidR="00673D04" w:rsidRDefault="00412189" w:rsidP="00410D93">
      <w:pPr>
        <w:pStyle w:val="TdocHeader2"/>
        <w:rPr>
          <w:sz w:val="20"/>
        </w:rPr>
      </w:pPr>
      <w:r>
        <w:rPr>
          <w:sz w:val="20"/>
        </w:rPr>
        <w:t>Release:</w:t>
      </w:r>
      <w:r>
        <w:rPr>
          <w:sz w:val="20"/>
        </w:rPr>
        <w:tab/>
      </w:r>
      <w:r w:rsidR="00673D04">
        <w:rPr>
          <w:sz w:val="20"/>
        </w:rPr>
        <w:t>Rel-15</w:t>
      </w:r>
    </w:p>
    <w:p w14:paraId="6A1766B9" w14:textId="50BEB254" w:rsidR="004E6BF2" w:rsidRPr="00410D93" w:rsidRDefault="004E6BF2" w:rsidP="00410D93">
      <w:pPr>
        <w:pStyle w:val="TdocHeader2"/>
        <w:rPr>
          <w:sz w:val="20"/>
        </w:rPr>
      </w:pPr>
      <w:r>
        <w:rPr>
          <w:sz w:val="20"/>
        </w:rPr>
        <w:t>Specification:</w:t>
      </w:r>
      <w:r>
        <w:rPr>
          <w:sz w:val="20"/>
        </w:rPr>
        <w:tab/>
        <w:t>38.811 Study on NR to support non-terrestrial networks</w:t>
      </w:r>
    </w:p>
    <w:p w14:paraId="43C92D28" w14:textId="77777777" w:rsidR="00CF2A6C" w:rsidRDefault="00CF2A6C">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1" w:name="_Ref298777854"/>
      <w:bookmarkEnd w:id="1"/>
      <w:r>
        <w:rPr>
          <w:lang w:val="en-US"/>
        </w:rPr>
        <w:t>Abstract</w:t>
      </w:r>
    </w:p>
    <w:p w14:paraId="0F07F96D" w14:textId="3E9373A6" w:rsidR="00811666" w:rsidRDefault="00240BC1" w:rsidP="00144E5C">
      <w:pPr>
        <w:rPr>
          <w:sz w:val="24"/>
          <w:szCs w:val="24"/>
        </w:rPr>
      </w:pPr>
      <w:r>
        <w:rPr>
          <w:sz w:val="24"/>
          <w:szCs w:val="24"/>
        </w:rPr>
        <w:t>This document</w:t>
      </w:r>
      <w:r w:rsidR="00080661">
        <w:rPr>
          <w:sz w:val="24"/>
          <w:szCs w:val="24"/>
        </w:rPr>
        <w:t xml:space="preserve"> </w:t>
      </w:r>
      <w:r w:rsidR="00811666">
        <w:rPr>
          <w:sz w:val="24"/>
          <w:szCs w:val="24"/>
        </w:rPr>
        <w:t xml:space="preserve">identifies some possible solutions to address issues </w:t>
      </w:r>
      <w:r w:rsidR="00426BC6">
        <w:rPr>
          <w:sz w:val="24"/>
          <w:szCs w:val="24"/>
        </w:rPr>
        <w:t xml:space="preserve">identified in 3GPP TR 38.811 </w:t>
      </w:r>
      <w:r w:rsidR="00811666">
        <w:rPr>
          <w:sz w:val="24"/>
          <w:szCs w:val="24"/>
        </w:rPr>
        <w:t xml:space="preserve">associated </w:t>
      </w:r>
      <w:r w:rsidR="00426BC6">
        <w:rPr>
          <w:sz w:val="24"/>
          <w:szCs w:val="24"/>
        </w:rPr>
        <w:t xml:space="preserve">with </w:t>
      </w:r>
      <w:r w:rsidR="00811666">
        <w:rPr>
          <w:sz w:val="24"/>
          <w:szCs w:val="24"/>
        </w:rPr>
        <w:t xml:space="preserve">the operation of NR </w:t>
      </w:r>
      <w:r w:rsidR="00426BC6">
        <w:rPr>
          <w:sz w:val="24"/>
          <w:szCs w:val="24"/>
        </w:rPr>
        <w:t xml:space="preserve">radio interface </w:t>
      </w:r>
      <w:r w:rsidR="00811666">
        <w:rPr>
          <w:sz w:val="24"/>
          <w:szCs w:val="24"/>
        </w:rPr>
        <w:t>in Non-Terrestrial Networks.</w:t>
      </w:r>
    </w:p>
    <w:p w14:paraId="17AB5A92" w14:textId="77777777" w:rsidR="00412189" w:rsidRDefault="00412189" w:rsidP="00144E5C">
      <w:pPr>
        <w:rPr>
          <w:sz w:val="24"/>
          <w:szCs w:val="24"/>
        </w:rPr>
      </w:pPr>
    </w:p>
    <w:p w14:paraId="7DDECE5D" w14:textId="069487EB" w:rsidR="00B17250" w:rsidRPr="00130EF1" w:rsidRDefault="00CC59C3" w:rsidP="00130EF1">
      <w:pPr>
        <w:pStyle w:val="Titre1"/>
        <w:numPr>
          <w:ilvl w:val="0"/>
          <w:numId w:val="2"/>
        </w:numPr>
        <w:textAlignment w:val="auto"/>
        <w:rPr>
          <w:lang w:val="en-US"/>
        </w:rPr>
      </w:pPr>
      <w:r>
        <w:rPr>
          <w:lang w:val="en-US"/>
        </w:rPr>
        <w:t xml:space="preserve">Possible solutions enabling NR to support </w:t>
      </w:r>
      <w:r w:rsidR="00C05726">
        <w:rPr>
          <w:lang w:val="en-US"/>
        </w:rPr>
        <w:t>n</w:t>
      </w:r>
      <w:r>
        <w:rPr>
          <w:lang w:val="en-US"/>
        </w:rPr>
        <w:t>on-</w:t>
      </w:r>
      <w:r w:rsidR="00C05726">
        <w:rPr>
          <w:lang w:val="en-US"/>
        </w:rPr>
        <w:t>t</w:t>
      </w:r>
      <w:r>
        <w:rPr>
          <w:lang w:val="en-US"/>
        </w:rPr>
        <w:t>errestrial network</w:t>
      </w:r>
      <w:r w:rsidR="00426BC6">
        <w:rPr>
          <w:lang w:val="en-US"/>
        </w:rPr>
        <w:t>s</w:t>
      </w:r>
    </w:p>
    <w:p w14:paraId="7BFCF88C" w14:textId="77777777" w:rsidR="00930103" w:rsidRDefault="00930103" w:rsidP="00930103"/>
    <w:p w14:paraId="64A593D9" w14:textId="1CC01618" w:rsidR="00811666" w:rsidRDefault="00CC59C3" w:rsidP="00443782">
      <w:pPr>
        <w:pStyle w:val="Titre2"/>
        <w:pBdr>
          <w:top w:val="none" w:sz="0" w:space="0" w:color="auto"/>
        </w:pBdr>
        <w:overflowPunct w:val="0"/>
        <w:autoSpaceDE w:val="0"/>
        <w:autoSpaceDN w:val="0"/>
        <w:adjustRightInd w:val="0"/>
      </w:pPr>
      <w:bookmarkStart w:id="2" w:name="_Toc494837626"/>
      <w:bookmarkStart w:id="3" w:name="_Toc509391306"/>
      <w:bookmarkStart w:id="4" w:name="_Toc509391453"/>
      <w:bookmarkStart w:id="5" w:name="_Toc509391542"/>
      <w:bookmarkStart w:id="6" w:name="_Toc509391619"/>
      <w:bookmarkStart w:id="7" w:name="_Toc509391701"/>
      <w:bookmarkStart w:id="8" w:name="_Toc509392156"/>
      <w:bookmarkStart w:id="9" w:name="_Toc509476528"/>
      <w:r>
        <w:rPr>
          <w:rFonts w:eastAsia="SimSun" w:cs="Times New Roman"/>
          <w:color w:val="auto"/>
          <w:szCs w:val="20"/>
          <w:lang w:eastAsia="en-US"/>
        </w:rPr>
        <w:t>2.1</w:t>
      </w:r>
      <w:r w:rsidR="00E56599" w:rsidRPr="00E56599">
        <w:rPr>
          <w:rFonts w:eastAsia="SimSun" w:cs="Times New Roman"/>
          <w:color w:val="auto"/>
          <w:szCs w:val="20"/>
          <w:lang w:eastAsia="en-US"/>
        </w:rPr>
        <w:tab/>
      </w:r>
      <w:bookmarkEnd w:id="2"/>
      <w:bookmarkEnd w:id="3"/>
      <w:bookmarkEnd w:id="4"/>
      <w:bookmarkEnd w:id="5"/>
      <w:bookmarkEnd w:id="6"/>
      <w:bookmarkEnd w:id="7"/>
      <w:bookmarkEnd w:id="8"/>
      <w:bookmarkEnd w:id="9"/>
      <w:r w:rsidR="00811666">
        <w:t xml:space="preserve">Delay tolerant </w:t>
      </w:r>
      <w:r w:rsidR="00811666">
        <w:rPr>
          <w:rFonts w:eastAsia="SimSun" w:cs="Times New Roman"/>
          <w:color w:val="auto"/>
          <w:szCs w:val="20"/>
          <w:lang w:eastAsia="en-US"/>
        </w:rPr>
        <w:t>HARQ solutions</w:t>
      </w:r>
    </w:p>
    <w:p w14:paraId="0BF9A86C" w14:textId="48BA490C" w:rsidR="00811666" w:rsidRDefault="00811666" w:rsidP="00811666">
      <w:r>
        <w:t xml:space="preserve">The following describes some of the </w:t>
      </w:r>
      <w:r w:rsidR="00C05726">
        <w:t>identified</w:t>
      </w:r>
      <w:r>
        <w:t xml:space="preserve"> </w:t>
      </w:r>
      <w:r w:rsidR="00F833CE">
        <w:t xml:space="preserve">NR </w:t>
      </w:r>
      <w:r>
        <w:t xml:space="preserve">features that can be supported and extended to </w:t>
      </w:r>
      <w:r w:rsidR="00F833CE">
        <w:t xml:space="preserve">facilitate HARQ for </w:t>
      </w:r>
      <w:r>
        <w:t>NTN</w:t>
      </w:r>
      <w:r w:rsidR="00F833CE">
        <w:t>.</w:t>
      </w:r>
    </w:p>
    <w:p w14:paraId="03BEEA90" w14:textId="093790E6" w:rsidR="00811666" w:rsidRPr="006D7D46" w:rsidRDefault="00811666" w:rsidP="00811666">
      <w:pPr>
        <w:jc w:val="both"/>
        <w:rPr>
          <w:b/>
          <w:bCs/>
          <w:szCs w:val="24"/>
        </w:rPr>
      </w:pPr>
      <w:r>
        <w:rPr>
          <w:b/>
          <w:bCs/>
          <w:szCs w:val="24"/>
        </w:rPr>
        <w:t>Further</w:t>
      </w:r>
      <w:r w:rsidRPr="006D7D46">
        <w:rPr>
          <w:b/>
          <w:bCs/>
          <w:szCs w:val="24"/>
        </w:rPr>
        <w:t xml:space="preserve"> HARQ </w:t>
      </w:r>
      <w:r w:rsidR="00F833CE">
        <w:rPr>
          <w:b/>
          <w:bCs/>
          <w:szCs w:val="24"/>
        </w:rPr>
        <w:t>enhancements</w:t>
      </w:r>
      <w:r w:rsidR="00F833CE" w:rsidRPr="006D7D46">
        <w:rPr>
          <w:b/>
          <w:bCs/>
          <w:szCs w:val="24"/>
        </w:rPr>
        <w:t xml:space="preserve"> </w:t>
      </w:r>
      <w:r w:rsidRPr="006D7D46">
        <w:rPr>
          <w:b/>
          <w:bCs/>
          <w:szCs w:val="24"/>
        </w:rPr>
        <w:t>support</w:t>
      </w:r>
      <w:r>
        <w:rPr>
          <w:b/>
          <w:bCs/>
          <w:szCs w:val="24"/>
        </w:rPr>
        <w:t>ing</w:t>
      </w:r>
      <w:r w:rsidRPr="006D7D46">
        <w:rPr>
          <w:b/>
          <w:bCs/>
          <w:szCs w:val="24"/>
        </w:rPr>
        <w:t xml:space="preserve"> NTN</w:t>
      </w:r>
    </w:p>
    <w:p w14:paraId="4E395A0C" w14:textId="47369AF4" w:rsidR="00811666" w:rsidRDefault="00F833CE" w:rsidP="00811666">
      <w:r>
        <w:t>In the following, possible further enhancements to support NTN are outlined.</w:t>
      </w:r>
    </w:p>
    <w:p w14:paraId="09405FFF" w14:textId="14E354FD" w:rsidR="00811666" w:rsidRPr="006D7D46" w:rsidRDefault="00811666" w:rsidP="00811666">
      <w:pPr>
        <w:pStyle w:val="Paragraphedeliste"/>
        <w:numPr>
          <w:ilvl w:val="0"/>
          <w:numId w:val="37"/>
        </w:numPr>
        <w:jc w:val="both"/>
        <w:rPr>
          <w:b/>
          <w:bCs/>
          <w:szCs w:val="24"/>
        </w:rPr>
      </w:pPr>
      <w:r w:rsidRPr="006D7D46">
        <w:rPr>
          <w:b/>
          <w:bCs/>
          <w:szCs w:val="24"/>
        </w:rPr>
        <w:t xml:space="preserve">Extending the minimum </w:t>
      </w:r>
      <w:r w:rsidR="00C05726">
        <w:rPr>
          <w:b/>
          <w:bCs/>
          <w:szCs w:val="24"/>
        </w:rPr>
        <w:t xml:space="preserve">number of </w:t>
      </w:r>
      <w:r w:rsidRPr="006D7D46">
        <w:rPr>
          <w:b/>
          <w:bCs/>
          <w:szCs w:val="24"/>
        </w:rPr>
        <w:t>HARQ processes</w:t>
      </w:r>
    </w:p>
    <w:p w14:paraId="05AF60C1" w14:textId="7875C69C" w:rsidR="00811666" w:rsidRPr="004C109A" w:rsidRDefault="00811666" w:rsidP="00811666">
      <w:pPr>
        <w:ind w:left="360"/>
      </w:pPr>
      <w:r>
        <w:t>It is agreed in NR to support</w:t>
      </w:r>
      <w:r w:rsidR="00F833CE">
        <w:t xml:space="preserve"> a</w:t>
      </w:r>
      <w:r>
        <w:t xml:space="preserve"> flexible number of HARQ processes</w:t>
      </w:r>
      <w:r w:rsidR="00F833CE">
        <w:t xml:space="preserve"> </w:t>
      </w:r>
      <w:r>
        <w:t xml:space="preserve">to support different use-cases with moderate RTT delays, e.g., satellites with MEO and LEO constellations as well as extreme coverage. </w:t>
      </w:r>
      <w:r w:rsidR="00F833CE">
        <w:t>Currently</w:t>
      </w:r>
      <w:r>
        <w:t xml:space="preserve"> NR supports 8 and 16 HARQ processes as a baseline. However, for NTN integration the number </w:t>
      </w:r>
      <w:r w:rsidR="00F833CE">
        <w:t xml:space="preserve">of </w:t>
      </w:r>
      <w:r>
        <w:t>HARQ processes need</w:t>
      </w:r>
      <w:r w:rsidR="00F833CE">
        <w:t>s</w:t>
      </w:r>
      <w:r>
        <w:t xml:space="preserve"> to be </w:t>
      </w:r>
      <w:r w:rsidR="00F833CE">
        <w:t>increased</w:t>
      </w:r>
      <w:r>
        <w:t xml:space="preserve">. Therefore, it is necessary to further study the optimal extension of the </w:t>
      </w:r>
      <w:r w:rsidR="00C05726">
        <w:t>minimum number of HARQ processes</w:t>
      </w:r>
      <w:r w:rsidR="00C05726">
        <w:rPr>
          <w:rFonts w:eastAsiaTheme="minorEastAsia"/>
        </w:rPr>
        <w:t>.</w:t>
      </w:r>
    </w:p>
    <w:p w14:paraId="341F788C" w14:textId="59514B5A" w:rsidR="00811666" w:rsidRPr="006D7D46" w:rsidRDefault="00811666" w:rsidP="00811666">
      <w:pPr>
        <w:pStyle w:val="Paragraphedeliste"/>
        <w:numPr>
          <w:ilvl w:val="0"/>
          <w:numId w:val="37"/>
        </w:numPr>
        <w:jc w:val="both"/>
        <w:rPr>
          <w:b/>
          <w:bCs/>
          <w:szCs w:val="24"/>
        </w:rPr>
      </w:pPr>
      <w:r w:rsidRPr="006D7D46">
        <w:rPr>
          <w:b/>
          <w:bCs/>
          <w:szCs w:val="24"/>
        </w:rPr>
        <w:t>Flexible HARQ timing</w:t>
      </w:r>
    </w:p>
    <w:p w14:paraId="366061AF" w14:textId="413F20D5" w:rsidR="00811666" w:rsidRDefault="00811666" w:rsidP="00811666">
      <w:pPr>
        <w:ind w:left="360"/>
      </w:pPr>
      <w:r w:rsidRPr="001F174F">
        <w:t>The HARQ processing tim</w:t>
      </w:r>
      <w:r w:rsidR="00C05726">
        <w:t>e</w:t>
      </w:r>
      <w:r w:rsidRPr="001F174F">
        <w:t xml:space="preserve"> in the DCI includes </w:t>
      </w:r>
      <w:r w:rsidR="00C05726" w:rsidRPr="001F174F">
        <w:t xml:space="preserve">at least </w:t>
      </w:r>
      <w:r w:rsidR="00C05726">
        <w:t>the time</w:t>
      </w:r>
      <w:r w:rsidR="00C05726" w:rsidRPr="001F174F">
        <w:t xml:space="preserve"> </w:t>
      </w:r>
      <w:r w:rsidRPr="001F174F">
        <w:t xml:space="preserve">between DL data reception </w:t>
      </w:r>
      <w:r w:rsidR="00C05726">
        <w:t>and</w:t>
      </w:r>
      <w:r w:rsidRPr="001F174F">
        <w:t xml:space="preserve"> the corresponding HARQ-ACK transmission </w:t>
      </w:r>
      <w:r>
        <w:t>in UL</w:t>
      </w:r>
      <w:r w:rsidRPr="001F174F">
        <w:t xml:space="preserve">. It </w:t>
      </w:r>
      <w:r w:rsidR="00C64F80" w:rsidRPr="001F174F">
        <w:t xml:space="preserve">also </w:t>
      </w:r>
      <w:r w:rsidRPr="001F174F">
        <w:t xml:space="preserve">includes the </w:t>
      </w:r>
      <w:r w:rsidR="00C64F80">
        <w:t>time</w:t>
      </w:r>
      <w:r w:rsidR="00C64F80" w:rsidRPr="001F174F">
        <w:t xml:space="preserve"> </w:t>
      </w:r>
      <w:r w:rsidRPr="001F174F">
        <w:t xml:space="preserve">between UL grant reception </w:t>
      </w:r>
      <w:r w:rsidR="00C64F80">
        <w:t>and</w:t>
      </w:r>
      <w:r w:rsidR="00DE0556">
        <w:t xml:space="preserve"> </w:t>
      </w:r>
      <w:r w:rsidRPr="001F174F">
        <w:t>the corresponding UL data transmission [</w:t>
      </w:r>
      <w:r>
        <w:t>1</w:t>
      </w:r>
      <w:r w:rsidRPr="001F174F">
        <w:t>].</w:t>
      </w:r>
      <w:r>
        <w:t xml:space="preserve"> This should be </w:t>
      </w:r>
      <w:r w:rsidR="00C64F80">
        <w:t xml:space="preserve">also affected </w:t>
      </w:r>
      <w:r>
        <w:t xml:space="preserve">by the satellite delays, </w:t>
      </w:r>
      <w:r w:rsidR="00C64F80">
        <w:t>and thus</w:t>
      </w:r>
      <w:r>
        <w:t xml:space="preserve"> needs to be studied</w:t>
      </w:r>
      <w:r w:rsidR="00C64F80">
        <w:t xml:space="preserve"> further. A modification of</w:t>
      </w:r>
      <w:r>
        <w:t xml:space="preserve"> the corresponding DCI control field/format</w:t>
      </w:r>
      <w:r w:rsidR="00C64F80">
        <w:t xml:space="preserve"> should be further investigated</w:t>
      </w:r>
      <w:r>
        <w:t>.</w:t>
      </w:r>
    </w:p>
    <w:p w14:paraId="2A9053B6" w14:textId="2DDB5389" w:rsidR="00811666" w:rsidRPr="006D7D46" w:rsidRDefault="00811666" w:rsidP="00811666">
      <w:pPr>
        <w:pStyle w:val="Paragraphedeliste"/>
        <w:numPr>
          <w:ilvl w:val="0"/>
          <w:numId w:val="37"/>
        </w:numPr>
        <w:jc w:val="both"/>
        <w:rPr>
          <w:b/>
          <w:bCs/>
          <w:szCs w:val="24"/>
        </w:rPr>
      </w:pPr>
      <w:r>
        <w:rPr>
          <w:b/>
          <w:bCs/>
          <w:szCs w:val="24"/>
        </w:rPr>
        <w:lastRenderedPageBreak/>
        <w:t xml:space="preserve">Adaptive </w:t>
      </w:r>
      <w:r w:rsidRPr="006D7D46">
        <w:rPr>
          <w:b/>
          <w:bCs/>
          <w:szCs w:val="24"/>
        </w:rPr>
        <w:t>HARQ</w:t>
      </w:r>
      <w:r>
        <w:rPr>
          <w:b/>
          <w:bCs/>
          <w:szCs w:val="24"/>
        </w:rPr>
        <w:t>-</w:t>
      </w:r>
      <w:r w:rsidRPr="006D7D46">
        <w:rPr>
          <w:b/>
          <w:bCs/>
          <w:szCs w:val="24"/>
        </w:rPr>
        <w:t>process ID</w:t>
      </w:r>
    </w:p>
    <w:p w14:paraId="7DE83E7C" w14:textId="5C8DEB76" w:rsidR="00811666" w:rsidRPr="00DC5A35" w:rsidRDefault="00510CA7" w:rsidP="00811666">
      <w:pPr>
        <w:ind w:left="360"/>
      </w:pPr>
      <w:hyperlink r:id="rId9" w:tgtFrame="_blank" w:history="1">
        <w:r w:rsidR="00C64F80">
          <w:t>A</w:t>
        </w:r>
        <w:r w:rsidR="00C64F80" w:rsidRPr="00192CD5">
          <w:t>synchronous</w:t>
        </w:r>
      </w:hyperlink>
      <w:r w:rsidR="00C64F80" w:rsidRPr="00192CD5">
        <w:rPr>
          <w:rFonts w:hint="eastAsia"/>
        </w:rPr>
        <w:t xml:space="preserve"> </w:t>
      </w:r>
      <w:r w:rsidR="00811666" w:rsidRPr="00192CD5">
        <w:rPr>
          <w:rFonts w:hint="eastAsia"/>
        </w:rPr>
        <w:t xml:space="preserve">HARQ can be scheduled at </w:t>
      </w:r>
      <w:r w:rsidR="00811666" w:rsidRPr="00192CD5">
        <w:t>any time</w:t>
      </w:r>
      <w:r w:rsidR="00811666" w:rsidRPr="00192CD5">
        <w:rPr>
          <w:rFonts w:hint="eastAsia"/>
        </w:rPr>
        <w:t xml:space="preserve"> slot after N subframes, </w:t>
      </w:r>
      <w:r w:rsidR="00C64F80">
        <w:t>with</w:t>
      </w:r>
      <w:r w:rsidR="00C64F80" w:rsidRPr="00192CD5">
        <w:rPr>
          <w:rFonts w:hint="eastAsia"/>
        </w:rPr>
        <w:t xml:space="preserve"> </w:t>
      </w:r>
      <w:r w:rsidR="00811666" w:rsidRPr="00192CD5">
        <w:rPr>
          <w:rFonts w:hint="eastAsia"/>
        </w:rPr>
        <w:t xml:space="preserve">N </w:t>
      </w:r>
      <w:r w:rsidR="00C64F80">
        <w:t>being</w:t>
      </w:r>
      <w:r w:rsidR="00C64F80" w:rsidRPr="00192CD5">
        <w:rPr>
          <w:rFonts w:hint="eastAsia"/>
        </w:rPr>
        <w:t xml:space="preserve"> </w:t>
      </w:r>
      <w:r w:rsidR="00811666" w:rsidRPr="00192CD5">
        <w:rPr>
          <w:rFonts w:hint="eastAsia"/>
        </w:rPr>
        <w:t xml:space="preserve">the configured number </w:t>
      </w:r>
      <w:r w:rsidR="00811666">
        <w:t xml:space="preserve">of </w:t>
      </w:r>
      <w:r w:rsidR="00811666" w:rsidRPr="00192CD5">
        <w:rPr>
          <w:rFonts w:hint="eastAsia"/>
        </w:rPr>
        <w:t>HARQ</w:t>
      </w:r>
      <w:r w:rsidR="00811666">
        <w:t xml:space="preserve"> </w:t>
      </w:r>
      <w:r w:rsidR="00811666" w:rsidRPr="00192CD5">
        <w:rPr>
          <w:rFonts w:hint="eastAsia"/>
        </w:rPr>
        <w:t>process</w:t>
      </w:r>
      <w:r w:rsidR="00811666">
        <w:t>es.</w:t>
      </w:r>
      <w:r w:rsidR="00811666" w:rsidRPr="00192CD5">
        <w:rPr>
          <w:rFonts w:hint="eastAsia"/>
        </w:rPr>
        <w:t xml:space="preserve"> </w:t>
      </w:r>
      <w:r w:rsidR="00811666">
        <w:t>T</w:t>
      </w:r>
      <w:r w:rsidR="00811666" w:rsidRPr="00192CD5">
        <w:rPr>
          <w:rFonts w:hint="eastAsia"/>
        </w:rPr>
        <w:t>herefore</w:t>
      </w:r>
      <w:r w:rsidR="00811666">
        <w:t>,</w:t>
      </w:r>
      <w:r w:rsidR="00811666" w:rsidRPr="00192CD5">
        <w:rPr>
          <w:rFonts w:hint="eastAsia"/>
        </w:rPr>
        <w:t xml:space="preserve"> </w:t>
      </w:r>
      <w:r w:rsidR="00C64F80">
        <w:t>a</w:t>
      </w:r>
      <w:r w:rsidR="00C64F80" w:rsidRPr="00192CD5">
        <w:rPr>
          <w:rFonts w:hint="eastAsia"/>
        </w:rPr>
        <w:t xml:space="preserve"> </w:t>
      </w:r>
      <w:r w:rsidR="00811666" w:rsidRPr="00192CD5">
        <w:rPr>
          <w:rFonts w:hint="eastAsia"/>
        </w:rPr>
        <w:t>HARQ</w:t>
      </w:r>
      <w:r w:rsidR="00811666">
        <w:t>-</w:t>
      </w:r>
      <w:r w:rsidR="00811666" w:rsidRPr="00192CD5">
        <w:rPr>
          <w:rFonts w:hint="eastAsia"/>
        </w:rPr>
        <w:t xml:space="preserve">process ID is </w:t>
      </w:r>
      <w:r w:rsidR="00811666">
        <w:t>used</w:t>
      </w:r>
      <w:r w:rsidR="00811666" w:rsidRPr="00192CD5">
        <w:rPr>
          <w:rFonts w:hint="eastAsia"/>
        </w:rPr>
        <w:t xml:space="preserve"> to indicate </w:t>
      </w:r>
      <w:r w:rsidR="00811666">
        <w:t xml:space="preserve">which </w:t>
      </w:r>
      <w:r w:rsidR="00811666" w:rsidRPr="00192CD5">
        <w:rPr>
          <w:rFonts w:hint="eastAsia"/>
        </w:rPr>
        <w:t>HARQ process</w:t>
      </w:r>
      <w:r w:rsidR="00811666">
        <w:t xml:space="preserve"> refers</w:t>
      </w:r>
      <w:r w:rsidR="00811666" w:rsidRPr="00192CD5">
        <w:rPr>
          <w:rFonts w:hint="eastAsia"/>
        </w:rPr>
        <w:t xml:space="preserve"> </w:t>
      </w:r>
      <w:r w:rsidR="00811666">
        <w:t>to an existing transmission [3, 6]</w:t>
      </w:r>
      <w:r w:rsidR="00811666" w:rsidRPr="00192CD5">
        <w:rPr>
          <w:rFonts w:hint="eastAsia"/>
        </w:rPr>
        <w:t>.</w:t>
      </w:r>
      <w:r w:rsidR="00811666">
        <w:t xml:space="preserve"> Hence, it is important to study how to efficiently introduce more HARQ processes with less impact on the number of HARQ process IDs. </w:t>
      </w:r>
    </w:p>
    <w:p w14:paraId="51B2254A" w14:textId="4B8EECCD" w:rsidR="00811666" w:rsidRPr="006D7D46" w:rsidRDefault="00C05726" w:rsidP="00811666">
      <w:pPr>
        <w:pStyle w:val="Paragraphedeliste"/>
        <w:numPr>
          <w:ilvl w:val="0"/>
          <w:numId w:val="37"/>
        </w:numPr>
        <w:jc w:val="both"/>
        <w:rPr>
          <w:b/>
          <w:bCs/>
          <w:szCs w:val="24"/>
        </w:rPr>
      </w:pPr>
      <w:r>
        <w:rPr>
          <w:b/>
          <w:bCs/>
          <w:szCs w:val="24"/>
        </w:rPr>
        <w:t>C</w:t>
      </w:r>
      <w:r w:rsidR="00811666" w:rsidRPr="006D7D46">
        <w:rPr>
          <w:b/>
          <w:bCs/>
          <w:szCs w:val="24"/>
        </w:rPr>
        <w:t>ode block group (CBG</w:t>
      </w:r>
      <w:r w:rsidR="00811666">
        <w:rPr>
          <w:b/>
          <w:bCs/>
          <w:szCs w:val="24"/>
        </w:rPr>
        <w:t>) aggregation for reduced HARQ a</w:t>
      </w:r>
      <w:r w:rsidR="00811666" w:rsidRPr="006D7D46">
        <w:rPr>
          <w:b/>
          <w:bCs/>
          <w:szCs w:val="24"/>
        </w:rPr>
        <w:t xml:space="preserve">cknowledgements </w:t>
      </w:r>
    </w:p>
    <w:p w14:paraId="3A4D66AB" w14:textId="74C47A6A" w:rsidR="00811666" w:rsidRPr="006D7D46" w:rsidRDefault="00811666" w:rsidP="00811666">
      <w:pPr>
        <w:ind w:left="360"/>
        <w:rPr>
          <w:b/>
          <w:bCs/>
          <w:sz w:val="24"/>
          <w:szCs w:val="24"/>
        </w:rPr>
      </w:pPr>
      <w:r w:rsidRPr="00ED4852">
        <w:t>In NR, code-block</w:t>
      </w:r>
      <w:r>
        <w:t xml:space="preserve"> group</w:t>
      </w:r>
      <w:r w:rsidRPr="00ED4852">
        <w:t xml:space="preserve"> (CB</w:t>
      </w:r>
      <w:r>
        <w:t>G</w:t>
      </w:r>
      <w:r w:rsidRPr="00ED4852">
        <w:t xml:space="preserve">) aggregation is supported, where data transmission can be scheduled to span one or multiple </w:t>
      </w:r>
      <w:r>
        <w:t>code-blocks (CB)</w:t>
      </w:r>
      <w:r w:rsidRPr="00ED4852">
        <w:t xml:space="preserve">. For each </w:t>
      </w:r>
      <w:r w:rsidR="00C64F80">
        <w:t>CBG</w:t>
      </w:r>
      <w:r w:rsidRPr="00ED4852">
        <w:t xml:space="preserve">, one HARQ feedback is sufficient to be transmitted for all aggregated </w:t>
      </w:r>
      <w:r>
        <w:t>code-</w:t>
      </w:r>
      <w:r w:rsidRPr="00ED4852">
        <w:t>blocks</w:t>
      </w:r>
      <w:r>
        <w:t xml:space="preserve"> </w:t>
      </w:r>
      <w:r w:rsidRPr="00ED4852">
        <w:t>[</w:t>
      </w:r>
      <w:r>
        <w:t>3, 6</w:t>
      </w:r>
      <w:r w:rsidRPr="00ED4852">
        <w:t xml:space="preserve">]. </w:t>
      </w:r>
      <w:r w:rsidR="00C64F80">
        <w:t>T</w:t>
      </w:r>
      <w:r w:rsidRPr="00ED4852">
        <w:t xml:space="preserve">he number of </w:t>
      </w:r>
      <w:r w:rsidR="00C64F80">
        <w:t xml:space="preserve">required </w:t>
      </w:r>
      <w:r w:rsidRPr="00ED4852">
        <w:t>HARQ processes</w:t>
      </w:r>
      <w:r>
        <w:t xml:space="preserve"> and HARQ feedbacks</w:t>
      </w:r>
      <w:r w:rsidR="00C64F80">
        <w:t xml:space="preserve"> can thus be significantly reduced</w:t>
      </w:r>
      <w:r w:rsidRPr="00ED4852">
        <w:t xml:space="preserve">. </w:t>
      </w:r>
      <w:r>
        <w:t>Therefore</w:t>
      </w:r>
      <w:r w:rsidRPr="00ED4852">
        <w:t xml:space="preserve">, </w:t>
      </w:r>
      <w:r w:rsidR="00C64F80">
        <w:t xml:space="preserve">the </w:t>
      </w:r>
      <w:r>
        <w:t>impact of longer delays</w:t>
      </w:r>
      <w:r w:rsidR="00C64F80">
        <w:t xml:space="preserve"> in</w:t>
      </w:r>
      <w:r>
        <w:t xml:space="preserve"> </w:t>
      </w:r>
      <w:r w:rsidR="00C64F80">
        <w:t xml:space="preserve">NTN </w:t>
      </w:r>
      <w:r>
        <w:t xml:space="preserve">needs to be considered for </w:t>
      </w:r>
      <w:r w:rsidRPr="00ED4852">
        <w:t>CBG</w:t>
      </w:r>
      <w:r>
        <w:t xml:space="preserve">, and whether </w:t>
      </w:r>
      <w:r w:rsidR="00C64F80">
        <w:t xml:space="preserve">or not the </w:t>
      </w:r>
      <w:r>
        <w:t>aggregation among TBs (rather than CB) can enhance the HARQ.</w:t>
      </w:r>
    </w:p>
    <w:p w14:paraId="46687F58" w14:textId="00D8783F" w:rsidR="00811666" w:rsidRPr="006D7D46" w:rsidRDefault="00811666" w:rsidP="00811666">
      <w:pPr>
        <w:jc w:val="both"/>
        <w:rPr>
          <w:b/>
          <w:bCs/>
          <w:szCs w:val="24"/>
        </w:rPr>
      </w:pPr>
      <w:r w:rsidRPr="006D7D46">
        <w:rPr>
          <w:b/>
          <w:bCs/>
          <w:szCs w:val="24"/>
        </w:rPr>
        <w:t>Limiting the</w:t>
      </w:r>
      <w:r>
        <w:rPr>
          <w:b/>
          <w:bCs/>
          <w:szCs w:val="24"/>
        </w:rPr>
        <w:t xml:space="preserve"> number</w:t>
      </w:r>
      <w:r w:rsidRPr="006D7D46">
        <w:rPr>
          <w:b/>
          <w:bCs/>
          <w:szCs w:val="24"/>
        </w:rPr>
        <w:t xml:space="preserve"> </w:t>
      </w:r>
      <w:r w:rsidR="00C05726">
        <w:rPr>
          <w:b/>
          <w:bCs/>
          <w:szCs w:val="24"/>
        </w:rPr>
        <w:t>of</w:t>
      </w:r>
      <w:r w:rsidR="00C05726" w:rsidRPr="006D7D46">
        <w:rPr>
          <w:b/>
          <w:bCs/>
          <w:szCs w:val="24"/>
        </w:rPr>
        <w:t xml:space="preserve"> </w:t>
      </w:r>
      <w:r w:rsidRPr="006D7D46">
        <w:rPr>
          <w:b/>
          <w:bCs/>
          <w:szCs w:val="24"/>
        </w:rPr>
        <w:t>HARQ process</w:t>
      </w:r>
      <w:r>
        <w:rPr>
          <w:b/>
          <w:bCs/>
          <w:szCs w:val="24"/>
        </w:rPr>
        <w:t>es</w:t>
      </w:r>
      <w:r w:rsidRPr="006D7D46">
        <w:rPr>
          <w:b/>
          <w:bCs/>
          <w:szCs w:val="24"/>
        </w:rPr>
        <w:t xml:space="preserve"> or disabling HARQ</w:t>
      </w:r>
    </w:p>
    <w:p w14:paraId="31EA28EA" w14:textId="2E0D6388" w:rsidR="00811666" w:rsidRDefault="00C64F80" w:rsidP="00811666">
      <w:r>
        <w:t>F</w:t>
      </w:r>
      <w:r w:rsidR="00811666">
        <w:t xml:space="preserve">or some satellite constellations, the number of HARQ processes is too high, e.g., GEO can reach 500 HARQ processes for a 1ms subframe length. In this case, mechanisms should be studied to </w:t>
      </w:r>
      <w:r>
        <w:t xml:space="preserve">significantly </w:t>
      </w:r>
      <w:r w:rsidR="00811666">
        <w:t xml:space="preserve">reduce the number of HARQ processes. In some cases, we might need to disable HARQ completely and allow only the initial transmission, RV0. </w:t>
      </w:r>
    </w:p>
    <w:p w14:paraId="7F305998" w14:textId="1E34E934" w:rsidR="00811666" w:rsidRPr="00ED4852" w:rsidRDefault="00811666" w:rsidP="00811666">
      <w:r w:rsidRPr="00ED4852">
        <w:t>The HARQ deactivation/(re)-activat</w:t>
      </w:r>
      <w:r w:rsidR="00D409D7">
        <w:t>ion</w:t>
      </w:r>
      <w:r w:rsidRPr="00ED4852">
        <w:t xml:space="preserve"> (and</w:t>
      </w:r>
      <w:r>
        <w:t>/or</w:t>
      </w:r>
      <w:r w:rsidRPr="00ED4852">
        <w:t xml:space="preserve"> switching to ARQ) can be initiated either by</w:t>
      </w:r>
      <w:r>
        <w:t xml:space="preserve"> the</w:t>
      </w:r>
      <w:r w:rsidRPr="00ED4852">
        <w:t xml:space="preserve"> gNB or by </w:t>
      </w:r>
      <w:r>
        <w:t xml:space="preserve">the </w:t>
      </w:r>
      <w:r w:rsidRPr="00ED4852">
        <w:t>UE</w:t>
      </w:r>
      <w:r>
        <w:t xml:space="preserve"> [13, 14]</w:t>
      </w:r>
      <w:r w:rsidRPr="00ED4852">
        <w:t xml:space="preserve">. This can be done dynamically (e.g., per transmission of one or more transport block(s)) or semi-statically (e.g., </w:t>
      </w:r>
      <w:r w:rsidR="00D409D7">
        <w:t xml:space="preserve">by a </w:t>
      </w:r>
      <w:r w:rsidRPr="00ED4852">
        <w:t xml:space="preserve">deactivation for a period of time or over a region). </w:t>
      </w:r>
      <w:r w:rsidR="00D409D7">
        <w:t>D</w:t>
      </w:r>
      <w:r w:rsidRPr="00ED4852">
        <w:t>ifferent mechanism</w:t>
      </w:r>
      <w:r>
        <w:t>s and metrics are needed</w:t>
      </w:r>
      <w:r w:rsidRPr="00ED4852">
        <w:t xml:space="preserve"> to </w:t>
      </w:r>
      <w:r w:rsidR="00D409D7">
        <w:t>decide whether to</w:t>
      </w:r>
      <w:r w:rsidR="00D409D7" w:rsidRPr="00ED4852">
        <w:t xml:space="preserve"> </w:t>
      </w:r>
      <w:r w:rsidRPr="00ED4852">
        <w:t>enab</w:t>
      </w:r>
      <w:r w:rsidR="00D409D7">
        <w:t>le</w:t>
      </w:r>
      <w:r w:rsidRPr="00ED4852">
        <w:t xml:space="preserve"> or disabl</w:t>
      </w:r>
      <w:r w:rsidR="00D409D7">
        <w:t>e</w:t>
      </w:r>
      <w:r w:rsidR="00DE0556">
        <w:t xml:space="preserve"> </w:t>
      </w:r>
      <w:r w:rsidRPr="00ED4852">
        <w:t xml:space="preserve">HARQ, e.g., </w:t>
      </w:r>
      <w:r>
        <w:t xml:space="preserve">the </w:t>
      </w:r>
      <w:r w:rsidRPr="00ED4852">
        <w:t>UE</w:t>
      </w:r>
      <w:r>
        <w:t xml:space="preserve"> QoS,</w:t>
      </w:r>
      <w:r w:rsidRPr="00ED4852">
        <w:t xml:space="preserve"> memory size, round trip time, network type, or transport block size, etc. Hence, it is important to stud</w:t>
      </w:r>
      <w:r>
        <w:t xml:space="preserve">y the impact </w:t>
      </w:r>
      <w:r w:rsidR="00D409D7">
        <w:t xml:space="preserve">of disabling HARQ </w:t>
      </w:r>
      <w:r>
        <w:t>on NR</w:t>
      </w:r>
      <w:r w:rsidR="00DE0556">
        <w:t xml:space="preserve"> </w:t>
      </w:r>
      <w:r w:rsidRPr="00ED4852">
        <w:t xml:space="preserve">(e.g., </w:t>
      </w:r>
      <w:r>
        <w:t xml:space="preserve">impact on the TBS, MCS, etc.). It is also important to consider the following HARQ reliability mechanisms to support disabling </w:t>
      </w:r>
      <w:r w:rsidRPr="00ED4852">
        <w:t>HARQ</w:t>
      </w:r>
      <w:r>
        <w:t>:</w:t>
      </w:r>
    </w:p>
    <w:p w14:paraId="7CEA0C15" w14:textId="77777777" w:rsidR="00811666" w:rsidRPr="006D7D46" w:rsidRDefault="00811666" w:rsidP="00811666">
      <w:pPr>
        <w:pStyle w:val="Paragraphedeliste"/>
        <w:numPr>
          <w:ilvl w:val="0"/>
          <w:numId w:val="37"/>
        </w:numPr>
        <w:jc w:val="both"/>
        <w:rPr>
          <w:b/>
          <w:sz w:val="24"/>
          <w:szCs w:val="20"/>
        </w:rPr>
      </w:pPr>
      <w:r w:rsidRPr="006D7D46">
        <w:rPr>
          <w:b/>
          <w:bCs/>
          <w:szCs w:val="24"/>
        </w:rPr>
        <w:t>HARQ-less operation and redundancy transmission</w:t>
      </w:r>
    </w:p>
    <w:p w14:paraId="39DE892D" w14:textId="7A824B88" w:rsidR="00811666" w:rsidRPr="00E9471B" w:rsidRDefault="00811666" w:rsidP="00811666">
      <w:pPr>
        <w:ind w:left="360"/>
      </w:pPr>
      <w:r w:rsidRPr="00ED4852">
        <w:t>TTI bundling and HARQ-less repetition (LTE Rel 15), can be used to</w:t>
      </w:r>
      <w:r w:rsidR="00D409D7">
        <w:t xml:space="preserve"> completely</w:t>
      </w:r>
      <w:r w:rsidRPr="00ED4852">
        <w:t xml:space="preserve"> avoid retransmission</w:t>
      </w:r>
      <w:r w:rsidR="00D409D7">
        <w:t>s</w:t>
      </w:r>
      <w:r w:rsidRPr="00ED4852">
        <w:t xml:space="preserve">; </w:t>
      </w:r>
      <w:r w:rsidR="00D409D7">
        <w:t>thus avoiding</w:t>
      </w:r>
      <w:r w:rsidRPr="00ED4852">
        <w:t xml:space="preserve"> the large number of required HARQ processes </w:t>
      </w:r>
      <w:r w:rsidR="00D409D7">
        <w:t>and the</w:t>
      </w:r>
      <w:r w:rsidR="00D409D7" w:rsidRPr="00ED4852">
        <w:t xml:space="preserve"> </w:t>
      </w:r>
      <w:r w:rsidRPr="00ED4852">
        <w:t>excessive HARQ feedback. In NR release 15 –December freeze – it was also agreed upon a similar mecha</w:t>
      </w:r>
      <w:r>
        <w:t>nism for UL, the k-repetition [3</w:t>
      </w:r>
      <w:r w:rsidRPr="00ED4852">
        <w:t xml:space="preserve">, </w:t>
      </w:r>
      <w:r>
        <w:t>4</w:t>
      </w:r>
      <w:r w:rsidRPr="00ED4852">
        <w:t xml:space="preserve">, </w:t>
      </w:r>
      <w:r>
        <w:t xml:space="preserve">6]. Those k </w:t>
      </w:r>
      <w:r w:rsidRPr="00ED4852">
        <w:t xml:space="preserve">repetitions can be similar to the initial transmission or following </w:t>
      </w:r>
      <w:r w:rsidR="00DE0556">
        <w:t xml:space="preserve">a </w:t>
      </w:r>
      <w:r w:rsidRPr="00ED4852">
        <w:t>certain RV sequence [</w:t>
      </w:r>
      <w:r>
        <w:t>9</w:t>
      </w:r>
      <w:r w:rsidRPr="00ED4852">
        <w:t>]. For current NR, bundling and repetition are</w:t>
      </w:r>
      <w:r w:rsidR="00DE0556">
        <w:t xml:space="preserve"> only</w:t>
      </w:r>
      <w:r w:rsidRPr="00ED4852">
        <w:t xml:space="preserve"> supported in </w:t>
      </w:r>
      <w:r w:rsidR="00DE0556">
        <w:t xml:space="preserve">the </w:t>
      </w:r>
      <w:r w:rsidRPr="00ED4852">
        <w:t xml:space="preserve">time domain. Therefore, the impact on </w:t>
      </w:r>
      <w:r>
        <w:t>repetition value k</w:t>
      </w:r>
      <w:r w:rsidRPr="00ED4852">
        <w:t>, rate reduction</w:t>
      </w:r>
      <w:r>
        <w:t xml:space="preserve"> (i.e., 1/k)</w:t>
      </w:r>
      <w:r w:rsidRPr="00ED4852">
        <w:t>, and the TBS/MCS tables need to be studied.</w:t>
      </w:r>
    </w:p>
    <w:p w14:paraId="29414D74" w14:textId="77777777" w:rsidR="00811666" w:rsidRPr="00ED4852" w:rsidRDefault="00811666" w:rsidP="00811666">
      <w:pPr>
        <w:pStyle w:val="Paragraphedeliste"/>
        <w:numPr>
          <w:ilvl w:val="0"/>
          <w:numId w:val="37"/>
        </w:numPr>
        <w:jc w:val="both"/>
        <w:rPr>
          <w:b/>
          <w:bCs/>
          <w:sz w:val="24"/>
          <w:szCs w:val="24"/>
        </w:rPr>
      </w:pPr>
      <w:r w:rsidRPr="006D7D46">
        <w:rPr>
          <w:b/>
          <w:bCs/>
          <w:szCs w:val="24"/>
        </w:rPr>
        <w:t>Utilizing terrestrial dual-connectivity</w:t>
      </w:r>
    </w:p>
    <w:p w14:paraId="49452744" w14:textId="679038AE" w:rsidR="00811666" w:rsidRPr="00A959DF" w:rsidRDefault="00811666" w:rsidP="00811666">
      <w:pPr>
        <w:ind w:left="360"/>
        <w:rPr>
          <w:color w:val="FF0000"/>
        </w:rPr>
      </w:pPr>
      <w:r>
        <w:t>In case of deactivated HARQ, when it is required to guarantee a certain QoS, the</w:t>
      </w:r>
      <w:r w:rsidRPr="00ED4852">
        <w:t xml:space="preserve"> HARQ </w:t>
      </w:r>
      <w:r>
        <w:t xml:space="preserve">operation can still be resumed (with a </w:t>
      </w:r>
      <w:r w:rsidRPr="00ED4852">
        <w:t xml:space="preserve">reduced </w:t>
      </w:r>
      <w:r>
        <w:t xml:space="preserve">latency) </w:t>
      </w:r>
      <w:r w:rsidRPr="00ED4852">
        <w:t>utilizing a dual-connectivity (DC) with a ground station (gNB)</w:t>
      </w:r>
      <w:r>
        <w:t xml:space="preserve"> in a terrestrial network offloading scenario</w:t>
      </w:r>
      <w:r w:rsidRPr="00ED4852">
        <w:t xml:space="preserve">. </w:t>
      </w:r>
      <w:r>
        <w:t>The</w:t>
      </w:r>
      <w:r w:rsidRPr="00ED4852">
        <w:t xml:space="preserve"> ground </w:t>
      </w:r>
      <w:r>
        <w:t>gNB</w:t>
      </w:r>
      <w:r w:rsidRPr="00ED4852">
        <w:t xml:space="preserve"> might be backhauled using </w:t>
      </w:r>
      <w:r>
        <w:t>a</w:t>
      </w:r>
      <w:r w:rsidRPr="00ED4852">
        <w:t xml:space="preserve"> satellite reliable link</w:t>
      </w:r>
      <w:r>
        <w:t xml:space="preserve"> or lose-less connection to the network</w:t>
      </w:r>
      <w:r w:rsidRPr="00ED4852">
        <w:t xml:space="preserve">. Once the UE is in the coverage of </w:t>
      </w:r>
      <w:r w:rsidR="00DE0556">
        <w:t>both,</w:t>
      </w:r>
      <w:r w:rsidRPr="00ED4852">
        <w:t xml:space="preserve"> terrestrial </w:t>
      </w:r>
      <w:r w:rsidR="00DE0556">
        <w:t>and non-terrestrial</w:t>
      </w:r>
      <w:r>
        <w:t xml:space="preserve"> node</w:t>
      </w:r>
      <w:r w:rsidRPr="00ED4852">
        <w:t xml:space="preserve">, the </w:t>
      </w:r>
      <w:r>
        <w:t xml:space="preserve">initial transmission can be sent over the NTN link, while </w:t>
      </w:r>
      <w:r w:rsidRPr="00ED4852">
        <w:lastRenderedPageBreak/>
        <w:t>HARQ retransmission</w:t>
      </w:r>
      <w:r>
        <w:t>s (other RVs)</w:t>
      </w:r>
      <w:r w:rsidRPr="00ED4852">
        <w:t xml:space="preserve"> and </w:t>
      </w:r>
      <w:r>
        <w:t xml:space="preserve">HARQ ACK/NACK </w:t>
      </w:r>
      <w:r w:rsidRPr="00ED4852">
        <w:t>feedback</w:t>
      </w:r>
      <w:r>
        <w:t>s</w:t>
      </w:r>
      <w:r w:rsidRPr="00ED4852">
        <w:t xml:space="preserve"> can simply </w:t>
      </w:r>
      <w:r>
        <w:t>flow</w:t>
      </w:r>
      <w:r w:rsidRPr="00ED4852">
        <w:t xml:space="preserve"> </w:t>
      </w:r>
      <w:r>
        <w:t>over</w:t>
      </w:r>
      <w:r w:rsidRPr="00ED4852">
        <w:t xml:space="preserve"> the terrestrial links (i.e., rather than the longer delay NTN links)</w:t>
      </w:r>
      <w:r w:rsidR="00DE0556">
        <w:t xml:space="preserve"> as illustrated in Figure 7.3.3.1-3</w:t>
      </w:r>
      <w:r w:rsidRPr="00ED4852">
        <w:t xml:space="preserve">. </w:t>
      </w:r>
      <w:r>
        <w:t>In other scenarios, rather than a network offloading scenario, dual connectivity can gain performance utilizing L2 aggregations, e.g., PDCP aggregation. Hence</w:t>
      </w:r>
      <w:r w:rsidRPr="00D54EDE">
        <w:t>, it is important to further study the impact o</w:t>
      </w:r>
      <w:r>
        <w:t>n NR HARQ operation in case of DC</w:t>
      </w:r>
      <w:r w:rsidRPr="00D54EDE">
        <w:t xml:space="preserve"> with</w:t>
      </w:r>
      <w:r>
        <w:t xml:space="preserve"> an existing</w:t>
      </w:r>
      <w:r w:rsidRPr="00D54EDE">
        <w:t xml:space="preserve"> terrestrial gNB</w:t>
      </w:r>
      <w:r>
        <w:t xml:space="preserve"> to include HARQ redundancy decoding at physical layer and/or L2 aggregation if possible</w:t>
      </w:r>
      <w:r w:rsidRPr="00D54EDE">
        <w:t>.</w:t>
      </w:r>
      <w:r>
        <w:t xml:space="preserve"> The impact on HARQ timing, </w:t>
      </w:r>
      <w:r w:rsidR="00DE0556">
        <w:t xml:space="preserve">the </w:t>
      </w:r>
      <w:r>
        <w:t>number of HARQ processes, and the HARQ process ID/synchronization need to be identified in this case.</w:t>
      </w:r>
    </w:p>
    <w:p w14:paraId="7D004A85" w14:textId="77777777" w:rsidR="00811666" w:rsidRDefault="00811666" w:rsidP="00811666">
      <w:pPr>
        <w:jc w:val="center"/>
      </w:pPr>
      <w:r>
        <w:rPr>
          <w:noProof/>
          <w:lang w:val="en-GB" w:eastAsia="en-GB"/>
        </w:rPr>
        <w:drawing>
          <wp:inline distT="0" distB="0" distL="0" distR="0" wp14:anchorId="320B9817" wp14:editId="01D68180">
            <wp:extent cx="3467100" cy="1962872"/>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t_HARQ_figures3.png"/>
                    <pic:cNvPicPr/>
                  </pic:nvPicPr>
                  <pic:blipFill>
                    <a:blip r:embed="rId10">
                      <a:extLst>
                        <a:ext uri="{28A0092B-C50C-407E-A947-70E740481C1C}">
                          <a14:useLocalDpi xmlns:a14="http://schemas.microsoft.com/office/drawing/2010/main" val="0"/>
                        </a:ext>
                      </a:extLst>
                    </a:blip>
                    <a:stretch>
                      <a:fillRect/>
                    </a:stretch>
                  </pic:blipFill>
                  <pic:spPr>
                    <a:xfrm>
                      <a:off x="0" y="0"/>
                      <a:ext cx="3549177" cy="2009339"/>
                    </a:xfrm>
                    <a:prstGeom prst="rect">
                      <a:avLst/>
                    </a:prstGeom>
                  </pic:spPr>
                </pic:pic>
              </a:graphicData>
            </a:graphic>
          </wp:inline>
        </w:drawing>
      </w:r>
    </w:p>
    <w:p w14:paraId="0F37C2F6" w14:textId="77777777" w:rsidR="00811666" w:rsidRDefault="00811666" w:rsidP="00811666">
      <w:pPr>
        <w:pStyle w:val="Lgende"/>
        <w:rPr>
          <w:lang w:eastAsia="de-DE"/>
        </w:rPr>
      </w:pPr>
      <w:r w:rsidRPr="00827131">
        <w:rPr>
          <w:lang w:eastAsia="de-DE"/>
        </w:rPr>
        <w:t xml:space="preserve">Figure </w:t>
      </w:r>
      <w:r>
        <w:rPr>
          <w:lang w:eastAsia="de-DE"/>
        </w:rPr>
        <w:t>7.3.3.1-3</w:t>
      </w:r>
      <w:r w:rsidRPr="00827131">
        <w:rPr>
          <w:lang w:eastAsia="de-DE"/>
        </w:rPr>
        <w:t xml:space="preserve">: </w:t>
      </w:r>
      <w:r>
        <w:rPr>
          <w:lang w:eastAsia="de-DE"/>
        </w:rPr>
        <w:t>The</w:t>
      </w:r>
      <w:r w:rsidRPr="005B363D">
        <w:rPr>
          <w:lang w:eastAsia="de-DE"/>
        </w:rPr>
        <w:t xml:space="preserve"> HARQ </w:t>
      </w:r>
      <w:r>
        <w:rPr>
          <w:lang w:eastAsia="de-DE"/>
        </w:rPr>
        <w:t>RVs are transmitted to the gNB via a satellite (or non-satellite) backhauling network. The gNB transmits the RVs to the UE upon HARQ negative acknowledgement NACK</w:t>
      </w:r>
    </w:p>
    <w:p w14:paraId="3F932B87" w14:textId="693F0765" w:rsidR="00811666" w:rsidRDefault="00811666" w:rsidP="00811666">
      <w:r w:rsidRPr="00ED4852">
        <w:t>Any of the previous NR mechanisms, e.g., HARQ-less repetitions, dual-connectivity, can be studied with HARQ being disabled or enabled.</w:t>
      </w:r>
    </w:p>
    <w:p w14:paraId="3F25DBED" w14:textId="77777777" w:rsidR="00811666" w:rsidRDefault="00811666" w:rsidP="00930103"/>
    <w:p w14:paraId="0E56224B" w14:textId="598292CB" w:rsidR="00CC59C3" w:rsidRPr="00085C5F" w:rsidRDefault="00CC59C3" w:rsidP="00085C5F">
      <w:pPr>
        <w:pStyle w:val="Titre2"/>
        <w:pBdr>
          <w:top w:val="none" w:sz="0" w:space="0" w:color="auto"/>
        </w:pBdr>
        <w:overflowPunct w:val="0"/>
        <w:autoSpaceDE w:val="0"/>
        <w:autoSpaceDN w:val="0"/>
        <w:adjustRightInd w:val="0"/>
        <w:rPr>
          <w:rFonts w:eastAsia="SimSun" w:cs="Times New Roman"/>
          <w:color w:val="auto"/>
          <w:szCs w:val="20"/>
          <w:lang w:eastAsia="en-US"/>
        </w:rPr>
      </w:pPr>
      <w:commentRangeStart w:id="10"/>
      <w:r w:rsidRPr="00CC59C3">
        <w:rPr>
          <w:rFonts w:eastAsia="SimSun" w:cs="Times New Roman"/>
          <w:color w:val="auto"/>
          <w:szCs w:val="20"/>
          <w:lang w:eastAsia="en-US"/>
        </w:rPr>
        <w:t>2.</w:t>
      </w:r>
      <w:r>
        <w:rPr>
          <w:rFonts w:eastAsia="SimSun" w:cs="Times New Roman"/>
          <w:color w:val="auto"/>
          <w:szCs w:val="20"/>
          <w:lang w:eastAsia="en-US"/>
        </w:rPr>
        <w:t>2</w:t>
      </w:r>
      <w:r w:rsidRPr="00085C5F">
        <w:rPr>
          <w:rFonts w:eastAsia="SimSun" w:cs="Times New Roman"/>
          <w:color w:val="auto"/>
          <w:szCs w:val="20"/>
          <w:lang w:eastAsia="en-US"/>
        </w:rPr>
        <w:t xml:space="preserve"> Hand-Over and paging</w:t>
      </w:r>
      <w:commentRangeEnd w:id="10"/>
      <w:r w:rsidR="00085C5F">
        <w:rPr>
          <w:rStyle w:val="Marquedecommentaire"/>
          <w:rFonts w:asciiTheme="minorHAnsi" w:eastAsiaTheme="minorHAnsi" w:hAnsiTheme="minorHAnsi" w:cstheme="minorBidi"/>
          <w:lang w:val="en-US" w:eastAsia="en-US"/>
        </w:rPr>
        <w:commentReference w:id="10"/>
      </w:r>
    </w:p>
    <w:p w14:paraId="6C77BD78" w14:textId="1BC34E0F" w:rsidR="00EB21ED" w:rsidRPr="00C758CF" w:rsidRDefault="00EB21ED" w:rsidP="00EB21ED">
      <w:r>
        <w:t>The following describes in some det</w:t>
      </w:r>
      <w:r w:rsidR="00BB1A82">
        <w:t>ails how handover</w:t>
      </w:r>
      <w:r>
        <w:t xml:space="preserve"> and paging may</w:t>
      </w:r>
      <w:r>
        <w:rPr>
          <w:lang w:val="en-GB"/>
        </w:rPr>
        <w:t xml:space="preserve"> operate successfully and efficiently in the NGSO satellite networks, assuming the NR UEs are capable of geo-location</w:t>
      </w:r>
      <w:r w:rsidR="00BB1A82">
        <w:rPr>
          <w:lang w:val="en-GB"/>
        </w:rPr>
        <w:t xml:space="preserve"> and </w:t>
      </w:r>
      <w:r w:rsidR="00BB1A82">
        <w:t>t</w:t>
      </w:r>
      <w:r w:rsidR="00BB1A82" w:rsidRPr="00FB0BF8">
        <w:t>he ephemeris information of the NGSO satellites</w:t>
      </w:r>
      <w:r w:rsidR="00BB1A82">
        <w:t xml:space="preserve"> can be made available to the satellite RAN</w:t>
      </w:r>
      <w:r>
        <w:rPr>
          <w:lang w:val="en-GB"/>
        </w:rPr>
        <w:t xml:space="preserve">. </w:t>
      </w:r>
      <w:r w:rsidR="00BB1A82">
        <w:rPr>
          <w:lang w:val="en-GB"/>
        </w:rPr>
        <w:t>(For fixed installations, UE</w:t>
      </w:r>
      <w:r>
        <w:rPr>
          <w:lang w:val="en-GB"/>
        </w:rPr>
        <w:t xml:space="preserve"> location</w:t>
      </w:r>
      <w:r w:rsidR="00BB1A82">
        <w:rPr>
          <w:lang w:val="en-GB"/>
        </w:rPr>
        <w:t>s</w:t>
      </w:r>
      <w:r>
        <w:rPr>
          <w:lang w:val="en-GB"/>
        </w:rPr>
        <w:t xml:space="preserve"> can be reported once at time of installation.) </w:t>
      </w:r>
    </w:p>
    <w:p w14:paraId="48ACA638" w14:textId="7DD412F3" w:rsidR="00EB21ED" w:rsidRPr="00FB0BF8" w:rsidRDefault="00EB21ED" w:rsidP="00EB21ED">
      <w:pPr>
        <w:rPr>
          <w:i/>
          <w:lang w:val="en-GB"/>
        </w:rPr>
      </w:pPr>
      <w:r w:rsidRPr="00FB0BF8">
        <w:t>The ephemeris information of the NGSO satellites</w:t>
      </w:r>
      <w:r w:rsidR="00BB1A82">
        <w:t xml:space="preserve"> may</w:t>
      </w:r>
      <w:r>
        <w:t xml:space="preserve"> be used to determine their footprints of each of the beams, and its ve</w:t>
      </w:r>
      <w:r w:rsidRPr="00FB0BF8">
        <w:t>locit</w:t>
      </w:r>
      <w:r>
        <w:t xml:space="preserve">y all the </w:t>
      </w:r>
      <w:r w:rsidRPr="00FB0BF8">
        <w:t>time. Therefore, for a given</w:t>
      </w:r>
      <w:r>
        <w:t xml:space="preserve"> UE location</w:t>
      </w:r>
      <w:r w:rsidRPr="00FB0BF8">
        <w:t xml:space="preserve"> at any given time, the network h</w:t>
      </w:r>
      <w:r>
        <w:t>as information as to which beam of which satellite</w:t>
      </w:r>
      <w:r w:rsidRPr="00FB0BF8">
        <w:t xml:space="preserve"> covers that</w:t>
      </w:r>
      <w:r>
        <w:t xml:space="preserve"> location best.  It also knows the duration</w:t>
      </w:r>
      <w:r w:rsidRPr="00FB0BF8">
        <w:t xml:space="preserve"> that</w:t>
      </w:r>
      <w:r>
        <w:t xml:space="preserve"> UE </w:t>
      </w:r>
      <w:r w:rsidRPr="00FB0BF8">
        <w:t>locat</w:t>
      </w:r>
      <w:r>
        <w:t>ion would remain to be covered by the beam and which beam on the same satellite, or a different satellite will be the best candidate to switch over next, and at what time</w:t>
      </w:r>
      <w:r w:rsidRPr="00FB0BF8">
        <w:t>. With positioning information of all UEs available</w:t>
      </w:r>
      <w:r>
        <w:t xml:space="preserve"> to the network, </w:t>
      </w:r>
      <w:r w:rsidRPr="00FB0BF8">
        <w:t>the need for measurement reports for use in triggering handovers</w:t>
      </w:r>
      <w:r>
        <w:t xml:space="preserve"> can be dispensed</w:t>
      </w:r>
      <w:r w:rsidRPr="00FB0BF8">
        <w:t xml:space="preserve">. </w:t>
      </w:r>
      <w:r>
        <w:t xml:space="preserve"> It is possible to simplify the handoff procedure and reduce the overhead required by preprogrammed or anticipated beam coverage based on satellite motions.</w:t>
      </w:r>
    </w:p>
    <w:p w14:paraId="7A8028B5" w14:textId="04F08CAD" w:rsidR="00EB21ED" w:rsidRPr="00C758CF" w:rsidRDefault="00EB21ED" w:rsidP="00EB21ED">
      <w:r>
        <w:rPr>
          <w:rFonts w:eastAsia="SimSun"/>
        </w:rPr>
        <w:t>For paging,</w:t>
      </w:r>
      <w:r w:rsidR="00BB1A82">
        <w:rPr>
          <w:rFonts w:eastAsia="SimSun"/>
        </w:rPr>
        <w:t xml:space="preserve"> similar to handover</w:t>
      </w:r>
      <w:r>
        <w:rPr>
          <w:rFonts w:eastAsia="SimSun"/>
        </w:rPr>
        <w:t>, given the UE location,</w:t>
      </w:r>
      <w:r>
        <w:t xml:space="preserve"> Satellite RAN determines the Tracking Area information and provides it to AMF similar to that provided by RAN in NR.  AMF responds to UE with a </w:t>
      </w:r>
      <w:r>
        <w:lastRenderedPageBreak/>
        <w:t xml:space="preserve">list of tracking areas, or registration area that the UE is allowed to move without a need to inform the network when UE is in CM-Idle state. Given that tracking areas are defined on the ground and </w:t>
      </w:r>
      <w:r w:rsidR="00BB1A82">
        <w:t>Non-</w:t>
      </w:r>
      <w:r>
        <w:t>GEO beams are moving, there is no one-to-one correspondence between moving beams and fixed tracking areas or registration areas on the ground. However, this information is necessary for UE to determine if it needs to perform a registration area update with AMF in NR.</w:t>
      </w:r>
    </w:p>
    <w:p w14:paraId="5F26CD9E" w14:textId="5AFAC402" w:rsidR="00991E59" w:rsidRDefault="00EB21ED" w:rsidP="00991E59">
      <w:r>
        <w:t>One way to inform UE about its TAC is to broadcast the TACs and their vertices that the beam is touching and UE compares its own location with broadcasted vertices to determine its TAC. Another way is for Satellite RAN to supply TAC information to UE.</w:t>
      </w:r>
      <w:r w:rsidR="00AE235B">
        <w:t xml:space="preserve">  Both approaches require overhead for such transmission. </w:t>
      </w:r>
      <w:r>
        <w:t xml:space="preserve"> T</w:t>
      </w:r>
      <w:r w:rsidR="00AE235B">
        <w:t>o minimize the</w:t>
      </w:r>
      <w:r>
        <w:t xml:space="preserve"> transmission</w:t>
      </w:r>
      <w:r w:rsidR="00AE235B">
        <w:t xml:space="preserve"> overhead</w:t>
      </w:r>
      <w:r>
        <w:t>, the UE in LEO/MEO satellite systems may update Satellite RAN about its current geo-location after it has moved a certain threshold distance since its last update. Satellite RAN provides a response to UE that will allow UE to determine if it needs to perform a registration area update using existing Registration procedures. To this end, the UE can provide information about Registration Area (that it had received from AMF as part of initial registration procedure) to Satellite RAN.  With this approach, the AMF is aware of the UE location with a granularity of the threshold distance</w:t>
      </w:r>
      <w:r w:rsidR="00AE235B">
        <w:t xml:space="preserve"> all the time</w:t>
      </w:r>
      <w:r w:rsidR="00991E59">
        <w:t xml:space="preserve">, while most of the NR handoff and paging protocols can be maintained with some modification with knowledge of the UE location and satellite </w:t>
      </w:r>
      <w:r w:rsidR="00991E59" w:rsidRPr="006F2313">
        <w:t>ephemeris information</w:t>
      </w:r>
      <w:r w:rsidR="00991E59">
        <w:t>.</w:t>
      </w:r>
    </w:p>
    <w:p w14:paraId="564452A3" w14:textId="0CB6E155" w:rsidR="00EB21ED" w:rsidRDefault="00EB21ED" w:rsidP="00930103"/>
    <w:p w14:paraId="0146641F" w14:textId="77777777" w:rsidR="00CC59C3" w:rsidRDefault="00CC59C3" w:rsidP="00930103"/>
    <w:p w14:paraId="43BEFF68" w14:textId="59DE14EE" w:rsidR="00085C5F" w:rsidRPr="007164A4" w:rsidRDefault="00085C5F" w:rsidP="00085C5F">
      <w:pPr>
        <w:pStyle w:val="Titre2"/>
        <w:pBdr>
          <w:top w:val="none" w:sz="0" w:space="0" w:color="auto"/>
        </w:pBdr>
        <w:overflowPunct w:val="0"/>
        <w:autoSpaceDE w:val="0"/>
        <w:autoSpaceDN w:val="0"/>
        <w:adjustRightInd w:val="0"/>
        <w:rPr>
          <w:rFonts w:eastAsia="SimSun" w:cs="Times New Roman"/>
          <w:color w:val="auto"/>
          <w:szCs w:val="20"/>
          <w:lang w:eastAsia="en-US"/>
        </w:rPr>
      </w:pPr>
      <w:r w:rsidRPr="00CC59C3">
        <w:rPr>
          <w:rFonts w:eastAsia="SimSun" w:cs="Times New Roman"/>
          <w:color w:val="auto"/>
          <w:szCs w:val="20"/>
          <w:lang w:eastAsia="en-US"/>
        </w:rPr>
        <w:t>2.</w:t>
      </w:r>
      <w:r>
        <w:rPr>
          <w:rFonts w:eastAsia="SimSun" w:cs="Times New Roman"/>
          <w:color w:val="auto"/>
          <w:szCs w:val="20"/>
          <w:lang w:eastAsia="en-US"/>
        </w:rPr>
        <w:t>3</w:t>
      </w:r>
      <w:r w:rsidRPr="007164A4">
        <w:rPr>
          <w:rFonts w:eastAsia="SimSun" w:cs="Times New Roman"/>
          <w:color w:val="auto"/>
          <w:szCs w:val="20"/>
          <w:lang w:eastAsia="en-US"/>
        </w:rPr>
        <w:t xml:space="preserve"> </w:t>
      </w:r>
      <w:r>
        <w:rPr>
          <w:rFonts w:eastAsia="SimSun" w:cs="Times New Roman"/>
          <w:color w:val="auto"/>
          <w:szCs w:val="20"/>
          <w:lang w:eastAsia="en-US"/>
        </w:rPr>
        <w:t>R</w:t>
      </w:r>
      <w:r w:rsidR="00305919">
        <w:rPr>
          <w:rFonts w:eastAsia="SimSun" w:cs="Times New Roman"/>
          <w:color w:val="auto"/>
          <w:szCs w:val="20"/>
          <w:lang w:eastAsia="en-US"/>
        </w:rPr>
        <w:t>andom access</w:t>
      </w:r>
    </w:p>
    <w:p w14:paraId="4F030C0F" w14:textId="77777777" w:rsidR="00A15965" w:rsidRDefault="00A15965" w:rsidP="00A15965">
      <w:pPr>
        <w:rPr>
          <w:rFonts w:ascii="Times New Roman" w:hAnsi="Times New Roman" w:cs="Times New Roman"/>
          <w:b/>
          <w:u w:val="single"/>
        </w:rPr>
      </w:pPr>
      <w:r w:rsidRPr="00AD5A34">
        <w:rPr>
          <w:rFonts w:ascii="Times New Roman" w:hAnsi="Times New Roman" w:cs="Times New Roman"/>
          <w:b/>
          <w:u w:val="single"/>
        </w:rPr>
        <w:t>R</w:t>
      </w:r>
      <w:r>
        <w:rPr>
          <w:rFonts w:ascii="Times New Roman" w:hAnsi="Times New Roman" w:cs="Times New Roman"/>
          <w:b/>
          <w:u w:val="single"/>
        </w:rPr>
        <w:t>andom A</w:t>
      </w:r>
      <w:r w:rsidRPr="00AD5A34">
        <w:rPr>
          <w:rFonts w:ascii="Times New Roman" w:hAnsi="Times New Roman" w:cs="Times New Roman"/>
          <w:b/>
          <w:u w:val="single"/>
        </w:rPr>
        <w:t xml:space="preserve">ccess </w:t>
      </w:r>
      <w:r>
        <w:rPr>
          <w:rFonts w:ascii="Times New Roman" w:hAnsi="Times New Roman" w:cs="Times New Roman"/>
          <w:b/>
          <w:u w:val="single"/>
        </w:rPr>
        <w:t>R</w:t>
      </w:r>
      <w:r w:rsidRPr="00AD5A34">
        <w:rPr>
          <w:rFonts w:ascii="Times New Roman" w:hAnsi="Times New Roman" w:cs="Times New Roman"/>
          <w:b/>
          <w:u w:val="single"/>
        </w:rPr>
        <w:t>esponse</w:t>
      </w:r>
      <w:r>
        <w:rPr>
          <w:rFonts w:ascii="Times New Roman" w:hAnsi="Times New Roman" w:cs="Times New Roman"/>
          <w:b/>
          <w:u w:val="single"/>
        </w:rPr>
        <w:t xml:space="preserve"> [a]</w:t>
      </w:r>
    </w:p>
    <w:p w14:paraId="42F27776" w14:textId="77777777" w:rsidR="00A15965" w:rsidRPr="00017D64" w:rsidRDefault="00A15965" w:rsidP="00A15965">
      <w:pPr>
        <w:pStyle w:val="Titre2"/>
        <w:pBdr>
          <w:top w:val="none" w:sz="0" w:space="0" w:color="auto"/>
        </w:pBdr>
        <w:overflowPunct w:val="0"/>
        <w:autoSpaceDE w:val="0"/>
        <w:autoSpaceDN w:val="0"/>
        <w:adjustRightInd w:val="0"/>
        <w:jc w:val="both"/>
        <w:rPr>
          <w:rFonts w:asciiTheme="minorHAnsi" w:eastAsiaTheme="minorHAnsi" w:hAnsiTheme="minorHAnsi" w:cstheme="minorBidi"/>
          <w:b/>
          <w:bCs/>
          <w:sz w:val="22"/>
          <w:szCs w:val="22"/>
          <w:lang w:val="en-US" w:eastAsia="en-US"/>
        </w:rPr>
      </w:pPr>
      <w:r w:rsidRPr="00017D64">
        <w:rPr>
          <w:rFonts w:asciiTheme="minorHAnsi" w:hAnsiTheme="minorHAnsi" w:cs="Times New Roman"/>
          <w:sz w:val="22"/>
          <w:szCs w:val="22"/>
        </w:rPr>
        <w:t xml:space="preserve">For non-terrestrial networks, the round-trip time can be much larger than the round-trip time in terrestrial networks (up to 600 </w:t>
      </w:r>
      <w:proofErr w:type="spellStart"/>
      <w:r w:rsidRPr="00017D64">
        <w:rPr>
          <w:rFonts w:asciiTheme="minorHAnsi" w:hAnsiTheme="minorHAnsi" w:cs="Times New Roman"/>
          <w:sz w:val="22"/>
          <w:szCs w:val="22"/>
        </w:rPr>
        <w:t>ms</w:t>
      </w:r>
      <w:proofErr w:type="spellEnd"/>
      <w:r w:rsidRPr="00017D64">
        <w:rPr>
          <w:rFonts w:asciiTheme="minorHAnsi" w:hAnsiTheme="minorHAnsi" w:cs="Times New Roman"/>
          <w:sz w:val="22"/>
          <w:szCs w:val="22"/>
        </w:rPr>
        <w:t xml:space="preserve"> for the case of GEO satellites, with bent pipe architecture). However, the current window for the PRACH response in NR which starts at </w:t>
      </w:r>
      <w:r w:rsidRPr="00017D64">
        <w:rPr>
          <w:rFonts w:asciiTheme="minorHAnsi" w:eastAsiaTheme="minorHAnsi" w:hAnsiTheme="minorHAnsi" w:cs="Times New Roman"/>
          <w:position w:val="-12"/>
          <w:sz w:val="22"/>
          <w:szCs w:val="22"/>
        </w:rPr>
        <w:object w:dxaOrig="4095" w:dyaOrig="405" w14:anchorId="03CC4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20.25pt" o:ole="">
            <v:imagedata r:id="rId12" o:title=""/>
          </v:shape>
          <o:OLEObject Type="Embed" ProgID="Equation.3" ShapeID="_x0000_i1025" DrawAspect="Content" ObjectID="_1588735742" r:id="rId13"/>
        </w:object>
      </w:r>
      <w:r w:rsidRPr="00017D64">
        <w:rPr>
          <w:rFonts w:asciiTheme="minorHAnsi" w:hAnsiTheme="minorHAnsi" w:cs="Times New Roman"/>
          <w:sz w:val="22"/>
          <w:szCs w:val="22"/>
        </w:rPr>
        <w:t xml:space="preserve"> symbols after transmitting the last symbol of the preamble and has the size of “</w:t>
      </w:r>
      <w:proofErr w:type="spellStart"/>
      <w:r w:rsidRPr="00017D64">
        <w:rPr>
          <w:rFonts w:asciiTheme="minorHAnsi" w:hAnsiTheme="minorHAnsi" w:cs="Times New Roman"/>
          <w:sz w:val="22"/>
          <w:szCs w:val="22"/>
        </w:rPr>
        <w:t>rar-WindowLength</w:t>
      </w:r>
      <w:proofErr w:type="spellEnd"/>
      <w:r w:rsidRPr="00017D64">
        <w:rPr>
          <w:rFonts w:asciiTheme="minorHAnsi" w:hAnsiTheme="minorHAnsi" w:cs="Times New Roman"/>
          <w:sz w:val="22"/>
          <w:szCs w:val="22"/>
        </w:rPr>
        <w:t>” cannot cover this round-trip time. Therefore, the random access response window length in NR should be revisited to accommodate the round-trip time of NTN.</w:t>
      </w:r>
    </w:p>
    <w:p w14:paraId="6ADDC5CD" w14:textId="77777777" w:rsidR="00A15965" w:rsidRPr="00DC26C7" w:rsidRDefault="00A15965" w:rsidP="00A15965">
      <w:pPr>
        <w:pStyle w:val="Titre2"/>
        <w:pBdr>
          <w:top w:val="none" w:sz="0" w:space="0" w:color="auto"/>
        </w:pBdr>
        <w:overflowPunct w:val="0"/>
        <w:autoSpaceDE w:val="0"/>
        <w:autoSpaceDN w:val="0"/>
        <w:adjustRightInd w:val="0"/>
        <w:rPr>
          <w:rFonts w:asciiTheme="minorHAnsi" w:eastAsiaTheme="minorHAnsi" w:hAnsiTheme="minorHAnsi" w:cstheme="minorBidi"/>
          <w:b/>
          <w:bCs/>
          <w:sz w:val="22"/>
          <w:szCs w:val="24"/>
          <w:lang w:val="en-US" w:eastAsia="en-US"/>
        </w:rPr>
      </w:pPr>
      <w:r>
        <w:rPr>
          <w:rFonts w:asciiTheme="minorHAnsi" w:eastAsiaTheme="minorHAnsi" w:hAnsiTheme="minorHAnsi" w:cstheme="minorBidi"/>
          <w:b/>
          <w:bCs/>
          <w:sz w:val="22"/>
          <w:szCs w:val="24"/>
          <w:lang w:val="en-US" w:eastAsia="en-US"/>
        </w:rPr>
        <w:t xml:space="preserve">RACH </w:t>
      </w:r>
      <w:r w:rsidRPr="00DC26C7">
        <w:rPr>
          <w:rFonts w:asciiTheme="minorHAnsi" w:eastAsiaTheme="minorHAnsi" w:hAnsiTheme="minorHAnsi" w:cstheme="minorBidi"/>
          <w:b/>
          <w:bCs/>
          <w:sz w:val="22"/>
          <w:szCs w:val="24"/>
          <w:lang w:val="en-US" w:eastAsia="en-US"/>
        </w:rPr>
        <w:t>Sequence and Format</w:t>
      </w:r>
      <w:r>
        <w:rPr>
          <w:rFonts w:asciiTheme="minorHAnsi" w:eastAsiaTheme="minorHAnsi" w:hAnsiTheme="minorHAnsi" w:cstheme="minorBidi"/>
          <w:b/>
          <w:bCs/>
          <w:sz w:val="22"/>
          <w:szCs w:val="24"/>
          <w:lang w:val="en-US" w:eastAsia="en-US"/>
        </w:rPr>
        <w:t xml:space="preserve"> [a][b][c][d][e]</w:t>
      </w:r>
    </w:p>
    <w:p w14:paraId="58FA44CE" w14:textId="77777777" w:rsidR="00A15965" w:rsidRPr="003B22EA" w:rsidRDefault="00A15965" w:rsidP="00A15965">
      <w:pPr>
        <w:jc w:val="both"/>
        <w:rPr>
          <w:rFonts w:eastAsia="Times New Roman" w:cstheme="minorHAnsi"/>
          <w:color w:val="000000" w:themeColor="dark1"/>
          <w:kern w:val="24"/>
          <w:lang w:eastAsia="en-GB"/>
        </w:rPr>
      </w:pPr>
      <w:r w:rsidRPr="003B22EA">
        <w:rPr>
          <w:rFonts w:cs="Times New Roman"/>
        </w:rPr>
        <w:t xml:space="preserve">Another problem </w:t>
      </w:r>
      <w:r>
        <w:rPr>
          <w:rFonts w:cs="Times New Roman"/>
        </w:rPr>
        <w:t xml:space="preserve">in NTN </w:t>
      </w:r>
      <w:r w:rsidRPr="003B22EA">
        <w:rPr>
          <w:rFonts w:cs="Times New Roman"/>
        </w:rPr>
        <w:t>is to design new PRACH formats with appropriate length of preamble and CP and guard time to be compatible with non-terrestrial communication needs (including large round-trip ambiguity) and have appropriate signaling mechanism for its configuration</w:t>
      </w:r>
      <w:r>
        <w:rPr>
          <w:rFonts w:cs="Times New Roman"/>
        </w:rPr>
        <w:t xml:space="preserve">, for example </w:t>
      </w:r>
      <w:r w:rsidRPr="00C052D9">
        <w:rPr>
          <w:rFonts w:cs="Times New Roman"/>
        </w:rPr>
        <w:t xml:space="preserve">if the CP length in NTN PRACH is still defined according to absolute propagation delay, the CP overhead would be unreasonably high, which will lead to a significant </w:t>
      </w:r>
      <w:r>
        <w:rPr>
          <w:rFonts w:cs="Times New Roman"/>
        </w:rPr>
        <w:t>waste of random access resource</w:t>
      </w:r>
      <w:r w:rsidRPr="003B22EA">
        <w:rPr>
          <w:rFonts w:cs="Times New Roman"/>
        </w:rPr>
        <w:t>.</w:t>
      </w:r>
      <w:r>
        <w:rPr>
          <w:rFonts w:cs="Times New Roman"/>
        </w:rPr>
        <w:t xml:space="preserve"> </w:t>
      </w:r>
      <w:r w:rsidRPr="003B22EA">
        <w:rPr>
          <w:rFonts w:cs="Times New Roman"/>
        </w:rPr>
        <w:t xml:space="preserve">The PRACH format identifies the preamble sequence length (and the option of its repetition) and the length of CP and guard time and also the subcarrier spacing. Appropriate length of CP and guard time (GT) depends on the round-trip time variation (or the round-trip time ambiguity). On the other hand, preamble sequence </w:t>
      </w:r>
      <w:r>
        <w:rPr>
          <w:rFonts w:cs="Times New Roman"/>
        </w:rPr>
        <w:t xml:space="preserve">length and its </w:t>
      </w:r>
      <w:r w:rsidRPr="003B22EA">
        <w:rPr>
          <w:rFonts w:cs="Times New Roman"/>
        </w:rPr>
        <w:t xml:space="preserve">repetition and subcarrier spacing affects the coverage. For non-terrestrial networks, depending on the architecture and the type of the non-terrestrial gNodeB (or bent pipe) there is a wide </w:t>
      </w:r>
      <w:r w:rsidRPr="003B22EA">
        <w:rPr>
          <w:rFonts w:cs="Times New Roman"/>
        </w:rPr>
        <w:lastRenderedPageBreak/>
        <w:t xml:space="preserve">range of round-trip time ambiguity and also coverage requirements (based on very different noise budgets for the uplink). This wide range of selection may require too many PRACH formats and excessive required signaling in SIB. New PRACH formats should be considered in NR to address the round-trip time variation and coverage issues of NTN. </w:t>
      </w:r>
    </w:p>
    <w:p w14:paraId="142E6C14" w14:textId="77777777" w:rsidR="00A15965" w:rsidRDefault="00A15965" w:rsidP="00A15965">
      <w:pPr>
        <w:jc w:val="both"/>
      </w:pPr>
      <w:r w:rsidRPr="003B22EA">
        <w:t xml:space="preserve">The cell coverage is limited by CP length of the preamble sequence. </w:t>
      </w:r>
      <w:r>
        <w:t xml:space="preserve">Up to 102 km cell radius can be supported by NR [e], as shown in </w:t>
      </w:r>
      <w:r w:rsidRPr="001732EF">
        <w:t xml:space="preserve">Tables </w:t>
      </w:r>
      <w:r>
        <w:t>2.3-1 and Table 2.3-2.</w:t>
      </w:r>
    </w:p>
    <w:p w14:paraId="53F4FB8E" w14:textId="77777777" w:rsidR="00A15965" w:rsidRDefault="00A15965" w:rsidP="00A15965">
      <w:pPr>
        <w:jc w:val="center"/>
      </w:pPr>
      <w:r>
        <w:rPr>
          <w:rFonts w:cs="Times New Roman"/>
          <w:lang w:eastAsia="zh-CN"/>
        </w:rPr>
        <w:t xml:space="preserve">Table 2.3-1 </w:t>
      </w:r>
      <w:r>
        <w:t>PRACH CP durations with long PRACH sequences</w:t>
      </w:r>
    </w:p>
    <w:tbl>
      <w:tblPr>
        <w:tblStyle w:val="Grilledutableau"/>
        <w:tblW w:w="6374" w:type="dxa"/>
        <w:jc w:val="center"/>
        <w:tblLayout w:type="fixed"/>
        <w:tblLook w:val="04A0" w:firstRow="1" w:lastRow="0" w:firstColumn="1" w:lastColumn="0" w:noHBand="0" w:noVBand="1"/>
      </w:tblPr>
      <w:tblGrid>
        <w:gridCol w:w="1274"/>
        <w:gridCol w:w="1275"/>
        <w:gridCol w:w="1274"/>
        <w:gridCol w:w="1274"/>
        <w:gridCol w:w="1277"/>
      </w:tblGrid>
      <w:tr w:rsidR="00A15965" w14:paraId="370DE7FC" w14:textId="77777777" w:rsidTr="00463857">
        <w:trPr>
          <w:jc w:val="center"/>
        </w:trPr>
        <w:tc>
          <w:tcPr>
            <w:tcW w:w="1271" w:type="dxa"/>
          </w:tcPr>
          <w:p w14:paraId="78634A94" w14:textId="77777777" w:rsidR="00A15965" w:rsidRDefault="00A15965" w:rsidP="00463857">
            <w:pPr>
              <w:spacing w:after="0" w:line="252" w:lineRule="auto"/>
              <w:jc w:val="center"/>
            </w:pPr>
          </w:p>
        </w:tc>
        <w:tc>
          <w:tcPr>
            <w:tcW w:w="5103" w:type="dxa"/>
            <w:gridSpan w:val="4"/>
          </w:tcPr>
          <w:p w14:paraId="1431015C" w14:textId="77777777" w:rsidR="00A15965" w:rsidRDefault="00A15965" w:rsidP="00463857">
            <w:pPr>
              <w:spacing w:after="0" w:line="252" w:lineRule="auto"/>
              <w:jc w:val="center"/>
            </w:pPr>
            <w:r>
              <w:t xml:space="preserve">PRACH CP durations </w:t>
            </w:r>
          </w:p>
        </w:tc>
      </w:tr>
      <w:tr w:rsidR="00A15965" w14:paraId="2CF34CBF" w14:textId="77777777" w:rsidTr="00463857">
        <w:trPr>
          <w:jc w:val="center"/>
        </w:trPr>
        <w:tc>
          <w:tcPr>
            <w:tcW w:w="1274" w:type="dxa"/>
            <w:vAlign w:val="center"/>
          </w:tcPr>
          <w:p w14:paraId="2B8985EA" w14:textId="77777777" w:rsidR="00A15965" w:rsidRDefault="00A15965" w:rsidP="00463857">
            <w:pPr>
              <w:spacing w:after="0" w:line="252" w:lineRule="auto"/>
              <w:jc w:val="center"/>
            </w:pPr>
            <w:r w:rsidRPr="00445E69">
              <w:t>T_CP [ms]</w:t>
            </w:r>
          </w:p>
        </w:tc>
        <w:tc>
          <w:tcPr>
            <w:tcW w:w="1275" w:type="dxa"/>
          </w:tcPr>
          <w:p w14:paraId="55E333E7" w14:textId="77777777" w:rsidR="00A15965" w:rsidRDefault="00A15965" w:rsidP="00463857">
            <w:pPr>
              <w:spacing w:after="0" w:line="252" w:lineRule="auto"/>
              <w:jc w:val="center"/>
            </w:pPr>
            <w:r w:rsidRPr="00445E69">
              <w:t>0.103</w:t>
            </w:r>
          </w:p>
        </w:tc>
        <w:tc>
          <w:tcPr>
            <w:tcW w:w="1275" w:type="dxa"/>
          </w:tcPr>
          <w:p w14:paraId="084B1337" w14:textId="77777777" w:rsidR="00A15965" w:rsidRDefault="00A15965" w:rsidP="00463857">
            <w:pPr>
              <w:spacing w:after="0" w:line="252" w:lineRule="auto"/>
              <w:jc w:val="center"/>
            </w:pPr>
            <w:r w:rsidRPr="00445E69">
              <w:t>0.684</w:t>
            </w:r>
          </w:p>
        </w:tc>
        <w:tc>
          <w:tcPr>
            <w:tcW w:w="1275" w:type="dxa"/>
          </w:tcPr>
          <w:p w14:paraId="432CE6D8" w14:textId="77777777" w:rsidR="00A15965" w:rsidRDefault="00A15965" w:rsidP="00463857">
            <w:pPr>
              <w:spacing w:after="0" w:line="252" w:lineRule="auto"/>
              <w:jc w:val="center"/>
            </w:pPr>
            <w:r w:rsidRPr="00445E69">
              <w:t>0.153</w:t>
            </w:r>
          </w:p>
        </w:tc>
        <w:tc>
          <w:tcPr>
            <w:tcW w:w="1275" w:type="dxa"/>
          </w:tcPr>
          <w:p w14:paraId="2CA0B959" w14:textId="77777777" w:rsidR="00A15965" w:rsidRDefault="00A15965" w:rsidP="00463857">
            <w:pPr>
              <w:spacing w:after="0" w:line="252" w:lineRule="auto"/>
              <w:jc w:val="center"/>
            </w:pPr>
            <w:r w:rsidRPr="00445E69">
              <w:t>0.103</w:t>
            </w:r>
          </w:p>
        </w:tc>
      </w:tr>
      <w:tr w:rsidR="00A15965" w14:paraId="353AF731" w14:textId="77777777" w:rsidTr="00463857">
        <w:trPr>
          <w:jc w:val="center"/>
        </w:trPr>
        <w:tc>
          <w:tcPr>
            <w:tcW w:w="1274" w:type="dxa"/>
          </w:tcPr>
          <w:p w14:paraId="0CD404D2" w14:textId="77777777" w:rsidR="00A15965" w:rsidRDefault="00A15965" w:rsidP="00463857">
            <w:pPr>
              <w:spacing w:after="0" w:line="252" w:lineRule="auto"/>
              <w:jc w:val="center"/>
            </w:pPr>
            <w:r w:rsidRPr="00445E69">
              <w:t>T_GT [ms]</w:t>
            </w:r>
          </w:p>
        </w:tc>
        <w:tc>
          <w:tcPr>
            <w:tcW w:w="1275" w:type="dxa"/>
          </w:tcPr>
          <w:p w14:paraId="3CC9A011" w14:textId="77777777" w:rsidR="00A15965" w:rsidRDefault="00A15965" w:rsidP="00463857">
            <w:pPr>
              <w:spacing w:after="0" w:line="252" w:lineRule="auto"/>
              <w:jc w:val="center"/>
            </w:pPr>
            <w:r w:rsidRPr="00445E69">
              <w:t>0.097</w:t>
            </w:r>
          </w:p>
        </w:tc>
        <w:tc>
          <w:tcPr>
            <w:tcW w:w="1275" w:type="dxa"/>
          </w:tcPr>
          <w:p w14:paraId="1E0E735C" w14:textId="77777777" w:rsidR="00A15965" w:rsidRDefault="00A15965" w:rsidP="00463857">
            <w:pPr>
              <w:spacing w:after="0" w:line="252" w:lineRule="auto"/>
              <w:jc w:val="center"/>
            </w:pPr>
            <w:r w:rsidRPr="00445E69">
              <w:t>0.713</w:t>
            </w:r>
          </w:p>
        </w:tc>
        <w:tc>
          <w:tcPr>
            <w:tcW w:w="1275" w:type="dxa"/>
          </w:tcPr>
          <w:p w14:paraId="2B6C5954" w14:textId="77777777" w:rsidR="00A15965" w:rsidRDefault="00A15965" w:rsidP="00463857">
            <w:pPr>
              <w:spacing w:after="0" w:line="252" w:lineRule="auto"/>
              <w:jc w:val="center"/>
            </w:pPr>
            <w:r w:rsidRPr="00445E69">
              <w:t>0.147</w:t>
            </w:r>
          </w:p>
        </w:tc>
        <w:tc>
          <w:tcPr>
            <w:tcW w:w="1275" w:type="dxa"/>
          </w:tcPr>
          <w:p w14:paraId="76ABBB3C" w14:textId="77777777" w:rsidR="00A15965" w:rsidRDefault="00A15965" w:rsidP="00463857">
            <w:pPr>
              <w:spacing w:after="0" w:line="252" w:lineRule="auto"/>
              <w:jc w:val="center"/>
            </w:pPr>
            <w:r w:rsidRPr="00445E69">
              <w:t>0.097</w:t>
            </w:r>
          </w:p>
        </w:tc>
      </w:tr>
    </w:tbl>
    <w:p w14:paraId="3229D929" w14:textId="77777777" w:rsidR="00A15965" w:rsidRDefault="00A15965" w:rsidP="00A15965">
      <w:pPr>
        <w:spacing w:line="252" w:lineRule="auto"/>
        <w:jc w:val="both"/>
      </w:pPr>
    </w:p>
    <w:p w14:paraId="0A7CC2E1" w14:textId="77777777" w:rsidR="00A15965" w:rsidRDefault="00A15965" w:rsidP="00A15965">
      <w:pPr>
        <w:spacing w:line="252" w:lineRule="auto"/>
        <w:jc w:val="center"/>
      </w:pPr>
      <w:r>
        <w:rPr>
          <w:rFonts w:cs="Times New Roman"/>
          <w:lang w:eastAsia="zh-CN"/>
        </w:rPr>
        <w:t xml:space="preserve">Table 2.3-2 </w:t>
      </w:r>
      <w:r>
        <w:t>PRACH CP durations with short PRACH sequences</w:t>
      </w:r>
    </w:p>
    <w:tbl>
      <w:tblPr>
        <w:tblStyle w:val="Grilledutableau"/>
        <w:tblW w:w="9351" w:type="dxa"/>
        <w:tblLayout w:type="fixed"/>
        <w:tblLook w:val="04A0" w:firstRow="1" w:lastRow="0" w:firstColumn="1" w:lastColumn="0" w:noHBand="0" w:noVBand="1"/>
      </w:tblPr>
      <w:tblGrid>
        <w:gridCol w:w="1129"/>
        <w:gridCol w:w="913"/>
        <w:gridCol w:w="914"/>
        <w:gridCol w:w="913"/>
        <w:gridCol w:w="914"/>
        <w:gridCol w:w="913"/>
        <w:gridCol w:w="914"/>
        <w:gridCol w:w="913"/>
        <w:gridCol w:w="914"/>
        <w:gridCol w:w="914"/>
      </w:tblGrid>
      <w:tr w:rsidR="00A15965" w14:paraId="7DE9C0A5" w14:textId="77777777" w:rsidTr="00463857">
        <w:tc>
          <w:tcPr>
            <w:tcW w:w="1129" w:type="dxa"/>
          </w:tcPr>
          <w:p w14:paraId="6F4CE211" w14:textId="77777777" w:rsidR="00A15965" w:rsidRDefault="00A15965" w:rsidP="00463857">
            <w:pPr>
              <w:spacing w:after="0" w:line="252" w:lineRule="auto"/>
              <w:jc w:val="center"/>
            </w:pPr>
          </w:p>
        </w:tc>
        <w:tc>
          <w:tcPr>
            <w:tcW w:w="8222" w:type="dxa"/>
            <w:gridSpan w:val="9"/>
          </w:tcPr>
          <w:p w14:paraId="73898615" w14:textId="77777777" w:rsidR="00A15965" w:rsidRDefault="00A15965" w:rsidP="00463857">
            <w:pPr>
              <w:spacing w:after="0" w:line="252" w:lineRule="auto"/>
              <w:jc w:val="center"/>
            </w:pPr>
            <w:r>
              <w:t>PRACH CP durations</w:t>
            </w:r>
          </w:p>
        </w:tc>
      </w:tr>
      <w:tr w:rsidR="00A15965" w14:paraId="0BF264E1" w14:textId="77777777" w:rsidTr="00463857">
        <w:tc>
          <w:tcPr>
            <w:tcW w:w="1129" w:type="dxa"/>
            <w:vAlign w:val="center"/>
          </w:tcPr>
          <w:p w14:paraId="0B90853D" w14:textId="77777777" w:rsidR="00A15965" w:rsidRPr="00290EDF" w:rsidRDefault="00A15965" w:rsidP="00463857">
            <w:pPr>
              <w:spacing w:after="0" w:line="252" w:lineRule="auto"/>
              <w:jc w:val="center"/>
              <w:rPr>
                <w:color w:val="000000"/>
              </w:rPr>
            </w:pPr>
            <w:r w:rsidRPr="00290EDF">
              <w:rPr>
                <w:color w:val="000000"/>
              </w:rPr>
              <w:t>T_CP [us]</w:t>
            </w:r>
          </w:p>
        </w:tc>
        <w:tc>
          <w:tcPr>
            <w:tcW w:w="913" w:type="dxa"/>
          </w:tcPr>
          <w:p w14:paraId="42541C0C" w14:textId="77777777" w:rsidR="00A15965" w:rsidRPr="00290EDF" w:rsidRDefault="00A15965" w:rsidP="00463857">
            <w:pPr>
              <w:spacing w:after="0" w:line="252" w:lineRule="auto"/>
              <w:jc w:val="center"/>
              <w:rPr>
                <w:color w:val="000000"/>
              </w:rPr>
            </w:pPr>
            <w:r>
              <w:rPr>
                <w:color w:val="000000"/>
              </w:rPr>
              <w:t>9.375</w:t>
            </w:r>
          </w:p>
        </w:tc>
        <w:tc>
          <w:tcPr>
            <w:tcW w:w="914" w:type="dxa"/>
          </w:tcPr>
          <w:p w14:paraId="2FC4DC9D" w14:textId="77777777" w:rsidR="00A15965" w:rsidRDefault="00A15965" w:rsidP="00463857">
            <w:pPr>
              <w:spacing w:after="0" w:line="252" w:lineRule="auto"/>
              <w:jc w:val="center"/>
            </w:pPr>
            <w:r>
              <w:rPr>
                <w:color w:val="000000"/>
              </w:rPr>
              <w:t>18.75</w:t>
            </w:r>
          </w:p>
        </w:tc>
        <w:tc>
          <w:tcPr>
            <w:tcW w:w="913" w:type="dxa"/>
          </w:tcPr>
          <w:p w14:paraId="2E504E39" w14:textId="77777777" w:rsidR="00A15965" w:rsidRDefault="00A15965" w:rsidP="00463857">
            <w:pPr>
              <w:spacing w:after="0" w:line="252" w:lineRule="auto"/>
              <w:jc w:val="center"/>
            </w:pPr>
            <w:r>
              <w:rPr>
                <w:color w:val="000000"/>
              </w:rPr>
              <w:t>28.125</w:t>
            </w:r>
          </w:p>
        </w:tc>
        <w:tc>
          <w:tcPr>
            <w:tcW w:w="914" w:type="dxa"/>
          </w:tcPr>
          <w:p w14:paraId="59D5BCB8" w14:textId="77777777" w:rsidR="00A15965" w:rsidRDefault="00A15965" w:rsidP="00463857">
            <w:pPr>
              <w:spacing w:after="0" w:line="252" w:lineRule="auto"/>
              <w:jc w:val="center"/>
            </w:pPr>
            <w:r>
              <w:rPr>
                <w:color w:val="000000"/>
              </w:rPr>
              <w:t>7.031</w:t>
            </w:r>
          </w:p>
        </w:tc>
        <w:tc>
          <w:tcPr>
            <w:tcW w:w="913" w:type="dxa"/>
          </w:tcPr>
          <w:p w14:paraId="77B5BAC7" w14:textId="77777777" w:rsidR="00A15965" w:rsidRDefault="00A15965" w:rsidP="00463857">
            <w:pPr>
              <w:spacing w:after="0" w:line="252" w:lineRule="auto"/>
              <w:jc w:val="center"/>
            </w:pPr>
            <w:r>
              <w:rPr>
                <w:color w:val="000000"/>
              </w:rPr>
              <w:t>11.719</w:t>
            </w:r>
          </w:p>
        </w:tc>
        <w:tc>
          <w:tcPr>
            <w:tcW w:w="914" w:type="dxa"/>
          </w:tcPr>
          <w:p w14:paraId="11CB5FA1" w14:textId="77777777" w:rsidR="00A15965" w:rsidRDefault="00A15965" w:rsidP="00463857">
            <w:pPr>
              <w:spacing w:after="0" w:line="252" w:lineRule="auto"/>
              <w:jc w:val="center"/>
            </w:pPr>
            <w:r>
              <w:rPr>
                <w:color w:val="000000"/>
              </w:rPr>
              <w:t>16.406</w:t>
            </w:r>
          </w:p>
        </w:tc>
        <w:tc>
          <w:tcPr>
            <w:tcW w:w="913" w:type="dxa"/>
          </w:tcPr>
          <w:p w14:paraId="4220565D" w14:textId="77777777" w:rsidR="00A15965" w:rsidRDefault="00A15965" w:rsidP="00463857">
            <w:pPr>
              <w:spacing w:after="0" w:line="252" w:lineRule="auto"/>
              <w:jc w:val="center"/>
            </w:pPr>
            <w:r>
              <w:rPr>
                <w:color w:val="000000"/>
              </w:rPr>
              <w:t>30.469</w:t>
            </w:r>
          </w:p>
        </w:tc>
        <w:tc>
          <w:tcPr>
            <w:tcW w:w="914" w:type="dxa"/>
          </w:tcPr>
          <w:p w14:paraId="6D9E146F" w14:textId="77777777" w:rsidR="00A15965" w:rsidRDefault="00A15965" w:rsidP="00463857">
            <w:pPr>
              <w:spacing w:after="0" w:line="252" w:lineRule="auto"/>
              <w:jc w:val="center"/>
            </w:pPr>
            <w:r>
              <w:rPr>
                <w:color w:val="000000"/>
              </w:rPr>
              <w:t>40.36</w:t>
            </w:r>
          </w:p>
        </w:tc>
        <w:tc>
          <w:tcPr>
            <w:tcW w:w="914" w:type="dxa"/>
          </w:tcPr>
          <w:p w14:paraId="6482E0AE" w14:textId="77777777" w:rsidR="00A15965" w:rsidRDefault="00A15965" w:rsidP="00463857">
            <w:pPr>
              <w:spacing w:after="0" w:line="252" w:lineRule="auto"/>
              <w:jc w:val="center"/>
            </w:pPr>
            <w:r>
              <w:rPr>
                <w:color w:val="000000"/>
              </w:rPr>
              <w:t>66.67</w:t>
            </w:r>
          </w:p>
        </w:tc>
      </w:tr>
      <w:tr w:rsidR="00A15965" w14:paraId="7BB532B6" w14:textId="77777777" w:rsidTr="00463857">
        <w:tc>
          <w:tcPr>
            <w:tcW w:w="1129" w:type="dxa"/>
          </w:tcPr>
          <w:p w14:paraId="6D14D444" w14:textId="77777777" w:rsidR="00A15965" w:rsidRPr="00290EDF" w:rsidRDefault="00A15965" w:rsidP="00463857">
            <w:pPr>
              <w:spacing w:after="0" w:line="252" w:lineRule="auto"/>
              <w:jc w:val="center"/>
              <w:rPr>
                <w:color w:val="000000"/>
              </w:rPr>
            </w:pPr>
            <w:r w:rsidRPr="00290EDF">
              <w:rPr>
                <w:color w:val="000000"/>
              </w:rPr>
              <w:t>T_GT [us]</w:t>
            </w:r>
          </w:p>
        </w:tc>
        <w:tc>
          <w:tcPr>
            <w:tcW w:w="913" w:type="dxa"/>
          </w:tcPr>
          <w:p w14:paraId="53202E50" w14:textId="77777777" w:rsidR="00A15965" w:rsidRPr="00290EDF" w:rsidRDefault="00A15965" w:rsidP="00463857">
            <w:pPr>
              <w:spacing w:after="0" w:line="252" w:lineRule="auto"/>
              <w:jc w:val="center"/>
              <w:rPr>
                <w:color w:val="000000"/>
              </w:rPr>
            </w:pPr>
            <w:r>
              <w:rPr>
                <w:color w:val="000000"/>
              </w:rPr>
              <w:t>0</w:t>
            </w:r>
          </w:p>
        </w:tc>
        <w:tc>
          <w:tcPr>
            <w:tcW w:w="914" w:type="dxa"/>
          </w:tcPr>
          <w:p w14:paraId="149D8569" w14:textId="77777777" w:rsidR="00A15965" w:rsidRDefault="00A15965" w:rsidP="00463857">
            <w:pPr>
              <w:spacing w:after="0" w:line="252" w:lineRule="auto"/>
              <w:jc w:val="center"/>
            </w:pPr>
            <w:r>
              <w:rPr>
                <w:color w:val="000000"/>
              </w:rPr>
              <w:t>0</w:t>
            </w:r>
          </w:p>
        </w:tc>
        <w:tc>
          <w:tcPr>
            <w:tcW w:w="913" w:type="dxa"/>
          </w:tcPr>
          <w:p w14:paraId="7A13D885" w14:textId="77777777" w:rsidR="00A15965" w:rsidRDefault="00A15965" w:rsidP="00463857">
            <w:pPr>
              <w:spacing w:after="0" w:line="252" w:lineRule="auto"/>
              <w:jc w:val="center"/>
            </w:pPr>
            <w:r>
              <w:rPr>
                <w:color w:val="000000"/>
              </w:rPr>
              <w:t>0</w:t>
            </w:r>
          </w:p>
        </w:tc>
        <w:tc>
          <w:tcPr>
            <w:tcW w:w="914" w:type="dxa"/>
          </w:tcPr>
          <w:p w14:paraId="66665C2D" w14:textId="77777777" w:rsidR="00A15965" w:rsidRDefault="00A15965" w:rsidP="00463857">
            <w:pPr>
              <w:spacing w:after="0" w:line="252" w:lineRule="auto"/>
              <w:jc w:val="center"/>
            </w:pPr>
            <w:r>
              <w:rPr>
                <w:color w:val="000000"/>
              </w:rPr>
              <w:t>2.344</w:t>
            </w:r>
          </w:p>
        </w:tc>
        <w:tc>
          <w:tcPr>
            <w:tcW w:w="913" w:type="dxa"/>
          </w:tcPr>
          <w:p w14:paraId="7FEB1FE8" w14:textId="77777777" w:rsidR="00A15965" w:rsidRDefault="00A15965" w:rsidP="00463857">
            <w:pPr>
              <w:spacing w:after="0" w:line="252" w:lineRule="auto"/>
              <w:jc w:val="center"/>
            </w:pPr>
            <w:r>
              <w:rPr>
                <w:color w:val="000000"/>
              </w:rPr>
              <w:t>7.031</w:t>
            </w:r>
          </w:p>
        </w:tc>
        <w:tc>
          <w:tcPr>
            <w:tcW w:w="914" w:type="dxa"/>
          </w:tcPr>
          <w:p w14:paraId="7A340741" w14:textId="77777777" w:rsidR="00A15965" w:rsidRDefault="00A15965" w:rsidP="00463857">
            <w:pPr>
              <w:spacing w:after="0" w:line="252" w:lineRule="auto"/>
              <w:jc w:val="center"/>
            </w:pPr>
            <w:r>
              <w:rPr>
                <w:color w:val="000000"/>
              </w:rPr>
              <w:t>11.719</w:t>
            </w:r>
          </w:p>
        </w:tc>
        <w:tc>
          <w:tcPr>
            <w:tcW w:w="913" w:type="dxa"/>
          </w:tcPr>
          <w:p w14:paraId="3907521C" w14:textId="77777777" w:rsidR="00A15965" w:rsidRDefault="00A15965" w:rsidP="00463857">
            <w:pPr>
              <w:spacing w:after="0" w:line="252" w:lineRule="auto"/>
              <w:jc w:val="center"/>
            </w:pPr>
            <w:r>
              <w:rPr>
                <w:color w:val="000000"/>
              </w:rPr>
              <w:t>25.781</w:t>
            </w:r>
          </w:p>
        </w:tc>
        <w:tc>
          <w:tcPr>
            <w:tcW w:w="914" w:type="dxa"/>
          </w:tcPr>
          <w:p w14:paraId="68E5BBA2" w14:textId="77777777" w:rsidR="00A15965" w:rsidRDefault="00A15965" w:rsidP="00463857">
            <w:pPr>
              <w:spacing w:after="0" w:line="252" w:lineRule="auto"/>
              <w:jc w:val="center"/>
            </w:pPr>
            <w:r>
              <w:rPr>
                <w:color w:val="000000"/>
              </w:rPr>
              <w:t>35.677</w:t>
            </w:r>
          </w:p>
        </w:tc>
        <w:tc>
          <w:tcPr>
            <w:tcW w:w="914" w:type="dxa"/>
          </w:tcPr>
          <w:p w14:paraId="505C3049" w14:textId="77777777" w:rsidR="00A15965" w:rsidRDefault="00A15965" w:rsidP="00463857">
            <w:pPr>
              <w:spacing w:after="0" w:line="252" w:lineRule="auto"/>
              <w:jc w:val="center"/>
            </w:pPr>
            <w:r>
              <w:rPr>
                <w:color w:val="000000"/>
              </w:rPr>
              <w:t>94.922</w:t>
            </w:r>
          </w:p>
        </w:tc>
      </w:tr>
    </w:tbl>
    <w:p w14:paraId="71677A48" w14:textId="77777777" w:rsidR="00A15965" w:rsidRDefault="00A15965" w:rsidP="00A15965">
      <w:pPr>
        <w:jc w:val="both"/>
      </w:pPr>
    </w:p>
    <w:p w14:paraId="29CB1A43" w14:textId="77777777" w:rsidR="00A15965" w:rsidRDefault="00A15965" w:rsidP="00A15965">
      <w:pPr>
        <w:jc w:val="both"/>
        <w:rPr>
          <w:rFonts w:eastAsia="MS Mincho"/>
        </w:rPr>
      </w:pPr>
      <w:r>
        <w:t>Considering that the cell size of HAPS is not extremely large, the current NR preamble format design should be enough to support HAPS.</w:t>
      </w:r>
      <w:r w:rsidRPr="003B22EA">
        <w:t xml:space="preserve"> </w:t>
      </w:r>
      <w:r>
        <w:t xml:space="preserve">The current NR preamble format design should be enough to support HAPS but for Satellite it needs to be revisited. </w:t>
      </w:r>
      <w:r>
        <w:rPr>
          <w:iCs/>
          <w:color w:val="000000" w:themeColor="text1"/>
        </w:rPr>
        <w:t xml:space="preserve"> </w:t>
      </w:r>
      <w:r w:rsidRPr="00750D27">
        <w:rPr>
          <w:iCs/>
          <w:color w:val="000000" w:themeColor="text1"/>
        </w:rPr>
        <w:t xml:space="preserve">As shown in Figure </w:t>
      </w:r>
      <w:r>
        <w:rPr>
          <w:iCs/>
          <w:color w:val="000000" w:themeColor="text1"/>
        </w:rPr>
        <w:t xml:space="preserve">2.3-1, </w:t>
      </w:r>
      <w:r>
        <w:rPr>
          <w:rFonts w:cs="Times New Roman"/>
          <w:lang w:eastAsia="zh-CN"/>
        </w:rPr>
        <w:t>t</w:t>
      </w:r>
      <w:r>
        <w:rPr>
          <w:rFonts w:eastAsia="MS Mincho"/>
        </w:rPr>
        <w:t xml:space="preserve">he difference </w:t>
      </w:r>
      <w:r w:rsidRPr="009B1355">
        <w:t>d3</w:t>
      </w:r>
      <w:r>
        <w:t xml:space="preserve"> = d2 – d1 </w:t>
      </w:r>
      <w:r>
        <w:rPr>
          <w:rFonts w:eastAsia="MS Mincho"/>
        </w:rPr>
        <w:t xml:space="preserve">depends on the elevation angle, as listed in </w:t>
      </w:r>
      <w:r w:rsidRPr="00BA0C36">
        <w:rPr>
          <w:rFonts w:cs="Times New Roman"/>
          <w:lang w:eastAsia="zh-CN"/>
        </w:rPr>
        <w:t xml:space="preserve">Table </w:t>
      </w:r>
      <w:r>
        <w:rPr>
          <w:rFonts w:cs="Times New Roman"/>
          <w:lang w:eastAsia="zh-CN"/>
        </w:rPr>
        <w:t>2.3-3</w:t>
      </w:r>
      <w:r>
        <w:rPr>
          <w:rFonts w:eastAsia="MS Mincho"/>
        </w:rPr>
        <w:t xml:space="preserve">. </w:t>
      </w:r>
    </w:p>
    <w:p w14:paraId="6FBB4ACA" w14:textId="77777777" w:rsidR="00A15965" w:rsidRDefault="00A15965" w:rsidP="00A15965">
      <w:pPr>
        <w:jc w:val="center"/>
        <w:rPr>
          <w:sz w:val="24"/>
          <w:szCs w:val="24"/>
        </w:rPr>
      </w:pPr>
      <w:r w:rsidRPr="008312E6">
        <w:rPr>
          <w:noProof/>
          <w:lang w:val="en-GB" w:eastAsia="en-GB"/>
        </w:rPr>
        <w:drawing>
          <wp:inline distT="0" distB="0" distL="0" distR="0" wp14:anchorId="2C2F0DAA" wp14:editId="242BFC6A">
            <wp:extent cx="2615979" cy="3028466"/>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2393" cy="3035891"/>
                    </a:xfrm>
                    <a:prstGeom prst="rect">
                      <a:avLst/>
                    </a:prstGeom>
                    <a:noFill/>
                    <a:ln>
                      <a:noFill/>
                    </a:ln>
                  </pic:spPr>
                </pic:pic>
              </a:graphicData>
            </a:graphic>
          </wp:inline>
        </w:drawing>
      </w:r>
      <w:r w:rsidRPr="00A34CEF">
        <w:rPr>
          <w:sz w:val="24"/>
          <w:szCs w:val="24"/>
        </w:rPr>
        <w:t xml:space="preserve"> </w:t>
      </w:r>
    </w:p>
    <w:p w14:paraId="7F310809" w14:textId="77777777" w:rsidR="00A15965" w:rsidRPr="006C3757" w:rsidRDefault="00A15965" w:rsidP="00A15965">
      <w:pPr>
        <w:jc w:val="center"/>
      </w:pPr>
      <w:bookmarkStart w:id="11" w:name="OLE_LINK13"/>
      <w:bookmarkStart w:id="12" w:name="OLE_LINK14"/>
      <w:r w:rsidRPr="006C3757">
        <w:rPr>
          <w:rFonts w:cs="Times New Roman"/>
          <w:lang w:eastAsia="zh-CN"/>
        </w:rPr>
        <w:t xml:space="preserve">Figure </w:t>
      </w:r>
      <w:r>
        <w:t>2.3</w:t>
      </w:r>
      <w:r w:rsidRPr="006C3757">
        <w:t>-1</w:t>
      </w:r>
      <w:bookmarkEnd w:id="11"/>
      <w:bookmarkEnd w:id="12"/>
      <w:r w:rsidRPr="006C3757">
        <w:t>: NTN systems, new geometry</w:t>
      </w:r>
    </w:p>
    <w:p w14:paraId="170E4DC3" w14:textId="77777777" w:rsidR="00A15965" w:rsidRDefault="00A15965" w:rsidP="00A15965">
      <w:pPr>
        <w:jc w:val="both"/>
        <w:rPr>
          <w:rFonts w:eastAsia="MS Mincho"/>
        </w:rPr>
      </w:pPr>
    </w:p>
    <w:p w14:paraId="1AC9FB7F" w14:textId="77777777" w:rsidR="00A15965" w:rsidRPr="00BA0C36" w:rsidRDefault="00A15965" w:rsidP="00A15965">
      <w:pPr>
        <w:jc w:val="center"/>
        <w:rPr>
          <w:rFonts w:cs="Times New Roman"/>
          <w:lang w:eastAsia="zh-CN"/>
        </w:rPr>
      </w:pPr>
      <w:r w:rsidRPr="00BA0C36">
        <w:rPr>
          <w:rFonts w:cs="Times New Roman"/>
          <w:lang w:eastAsia="zh-CN"/>
        </w:rPr>
        <w:lastRenderedPageBreak/>
        <w:t xml:space="preserve">Table </w:t>
      </w:r>
      <w:r>
        <w:rPr>
          <w:rFonts w:cs="Times New Roman"/>
          <w:lang w:eastAsia="zh-CN"/>
        </w:rPr>
        <w:t>2.3-3</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A15965" w:rsidRPr="00504BB1" w14:paraId="4F05220D"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1C1FFD1" w14:textId="77777777" w:rsidR="00A15965" w:rsidRPr="00504BB1" w:rsidRDefault="00A15965" w:rsidP="00463857">
            <w:pPr>
              <w:spacing w:after="0"/>
              <w:jc w:val="center"/>
              <w:rPr>
                <w:rFonts w:eastAsia="MS Mincho"/>
              </w:rPr>
            </w:pPr>
            <w:r>
              <w:rPr>
                <w:rFonts w:eastAsia="MS Mincho"/>
                <w:b/>
                <w:bCs/>
              </w:rPr>
              <w:t>alpha</w:t>
            </w:r>
            <w:r w:rsidRPr="00504BB1">
              <w:rPr>
                <w:rFonts w:eastAsia="MS Mincho" w:hint="eastAsia"/>
                <w:b/>
                <w:bCs/>
              </w:rPr>
              <w:t xml:space="preserve"> [degree]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A7FD61C" w14:textId="77777777" w:rsidR="00A15965" w:rsidRPr="00504BB1" w:rsidRDefault="00A15965" w:rsidP="00463857">
            <w:pPr>
              <w:spacing w:after="0"/>
              <w:jc w:val="center"/>
              <w:rPr>
                <w:rFonts w:eastAsia="MS Mincho"/>
              </w:rPr>
            </w:pPr>
            <w:r w:rsidRPr="00504BB1">
              <w:rPr>
                <w:rFonts w:eastAsia="MS Mincho" w:hint="eastAsia"/>
                <w:b/>
                <w:bCs/>
              </w:rPr>
              <w:t>Cell radius</w:t>
            </w:r>
            <w:r>
              <w:rPr>
                <w:rFonts w:eastAsia="MS Mincho"/>
                <w:b/>
                <w:bCs/>
              </w:rPr>
              <w:t xml:space="preserve"> (Smax/2)</w:t>
            </w:r>
            <w:r w:rsidRPr="00504BB1">
              <w:rPr>
                <w:rFonts w:eastAsia="MS Mincho" w:hint="eastAsia"/>
                <w:b/>
                <w:bCs/>
              </w:rPr>
              <w:t xml:space="preserve">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545BA34" w14:textId="77777777" w:rsidR="00A15965" w:rsidRPr="00504BB1" w:rsidRDefault="00A15965" w:rsidP="00463857">
            <w:pPr>
              <w:spacing w:after="0"/>
              <w:jc w:val="center"/>
              <w:rPr>
                <w:rFonts w:eastAsia="MS Mincho"/>
              </w:rPr>
            </w:pPr>
            <w:r w:rsidRPr="00504BB1">
              <w:rPr>
                <w:rFonts w:eastAsia="MS Mincho" w:hint="eastAsia"/>
                <w:b/>
                <w:bCs/>
              </w:rPr>
              <w:t>d</w:t>
            </w:r>
            <w:r>
              <w:rPr>
                <w:rFonts w:eastAsia="MS Mincho"/>
                <w:b/>
                <w:bCs/>
                <w:vertAlign w:val="subscript"/>
              </w:rPr>
              <w:t>2</w:t>
            </w:r>
            <w:r w:rsidRPr="00504BB1">
              <w:rPr>
                <w:rFonts w:eastAsia="MS Mincho" w:hint="eastAsia"/>
                <w:b/>
                <w:bCs/>
              </w:rPr>
              <w:t>-d</w:t>
            </w:r>
            <w:r>
              <w:rPr>
                <w:rFonts w:eastAsia="MS Mincho"/>
                <w:b/>
                <w:bCs/>
                <w:vertAlign w:val="subscript"/>
              </w:rPr>
              <w:t>1</w:t>
            </w:r>
            <w:r w:rsidRPr="00504BB1">
              <w:rPr>
                <w:rFonts w:eastAsia="MS Mincho" w:hint="eastAsia"/>
                <w:b/>
                <w:bCs/>
              </w:rPr>
              <w:t xml:space="preserve"> [km]</w:t>
            </w:r>
          </w:p>
        </w:tc>
      </w:tr>
      <w:tr w:rsidR="00A15965" w:rsidRPr="00504BB1" w14:paraId="54130886"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2F8194D" w14:textId="77777777" w:rsidR="00A15965" w:rsidRPr="00504BB1" w:rsidRDefault="00A15965" w:rsidP="00463857">
            <w:pPr>
              <w:spacing w:after="0"/>
              <w:jc w:val="center"/>
              <w:rPr>
                <w:rFonts w:eastAsia="MS Mincho"/>
              </w:rPr>
            </w:pPr>
            <w:r w:rsidRPr="00504BB1">
              <w:rPr>
                <w:rFonts w:eastAsia="MS Mincho" w:hint="eastAsia"/>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2EF6AE0" w14:textId="77777777" w:rsidR="00A15965" w:rsidRPr="00C0328A" w:rsidRDefault="00A15965" w:rsidP="00463857">
            <w:pPr>
              <w:spacing w:after="0"/>
              <w:jc w:val="center"/>
              <w:rPr>
                <w:rFonts w:eastAsia="MS Mincho"/>
              </w:rPr>
            </w:pPr>
            <w:r w:rsidRPr="00C0328A">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5E3ED4A" w14:textId="77777777" w:rsidR="00A15965" w:rsidRPr="00C0328A" w:rsidRDefault="00A15965" w:rsidP="00463857">
            <w:pPr>
              <w:spacing w:after="0"/>
              <w:jc w:val="center"/>
              <w:rPr>
                <w:rFonts w:eastAsia="MS Mincho"/>
              </w:rPr>
            </w:pPr>
            <w:r w:rsidRPr="00C0328A">
              <w:rPr>
                <w:rFonts w:eastAsia="MS Mincho" w:hint="eastAsia"/>
              </w:rPr>
              <w:t>390</w:t>
            </w:r>
          </w:p>
        </w:tc>
      </w:tr>
      <w:tr w:rsidR="00A15965" w:rsidRPr="00504BB1" w14:paraId="6E5E17B2"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3AD1F2" w14:textId="77777777" w:rsidR="00A15965" w:rsidRPr="00504BB1" w:rsidRDefault="00A15965" w:rsidP="00463857">
            <w:pPr>
              <w:spacing w:after="0"/>
              <w:jc w:val="center"/>
              <w:rPr>
                <w:rFonts w:eastAsia="MS Mincho"/>
              </w:rPr>
            </w:pPr>
            <w:r w:rsidRPr="00504BB1">
              <w:rPr>
                <w:rFonts w:eastAsia="MS Mincho" w:hint="eastAsia"/>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09525E0" w14:textId="77777777" w:rsidR="00A15965" w:rsidRPr="00C0328A" w:rsidRDefault="00A15965" w:rsidP="00463857">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4DAF10B" w14:textId="77777777" w:rsidR="00A15965" w:rsidRPr="00C0328A" w:rsidRDefault="00A15965" w:rsidP="00463857">
            <w:pPr>
              <w:spacing w:after="0"/>
              <w:jc w:val="center"/>
              <w:rPr>
                <w:rFonts w:eastAsia="MS Mincho"/>
              </w:rPr>
            </w:pPr>
            <w:r w:rsidRPr="00C0328A">
              <w:rPr>
                <w:rFonts w:eastAsia="MS Mincho" w:hint="eastAsia"/>
              </w:rPr>
              <w:t>372</w:t>
            </w:r>
          </w:p>
        </w:tc>
      </w:tr>
      <w:tr w:rsidR="00A15965" w:rsidRPr="00504BB1" w14:paraId="576749CD"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AC00CAA" w14:textId="77777777" w:rsidR="00A15965" w:rsidRPr="00504BB1" w:rsidRDefault="00A15965" w:rsidP="00463857">
            <w:pPr>
              <w:spacing w:after="0"/>
              <w:jc w:val="center"/>
              <w:rPr>
                <w:rFonts w:eastAsia="MS Mincho"/>
              </w:rPr>
            </w:pPr>
            <w:r w:rsidRPr="00504BB1">
              <w:rPr>
                <w:rFonts w:eastAsia="MS Mincho" w:hint="eastAsia"/>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4B2991F" w14:textId="77777777" w:rsidR="00A15965" w:rsidRPr="00C0328A" w:rsidRDefault="00A15965" w:rsidP="00463857">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2A8F90D" w14:textId="77777777" w:rsidR="00A15965" w:rsidRPr="00C0328A" w:rsidRDefault="00A15965" w:rsidP="00463857">
            <w:pPr>
              <w:spacing w:after="0"/>
              <w:jc w:val="center"/>
              <w:rPr>
                <w:rFonts w:eastAsia="MS Mincho"/>
              </w:rPr>
            </w:pPr>
            <w:r w:rsidRPr="00C0328A">
              <w:rPr>
                <w:rFonts w:eastAsia="MS Mincho" w:hint="eastAsia"/>
              </w:rPr>
              <w:t>343</w:t>
            </w:r>
          </w:p>
        </w:tc>
      </w:tr>
      <w:tr w:rsidR="00A15965" w:rsidRPr="00504BB1" w14:paraId="5D6AA00D"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08734D6" w14:textId="77777777" w:rsidR="00A15965" w:rsidRPr="00504BB1" w:rsidRDefault="00A15965" w:rsidP="00463857">
            <w:pPr>
              <w:spacing w:after="0"/>
              <w:jc w:val="center"/>
              <w:rPr>
                <w:rFonts w:eastAsia="MS Mincho"/>
              </w:rPr>
            </w:pPr>
            <w:r w:rsidRPr="00504BB1">
              <w:rPr>
                <w:rFonts w:eastAsia="MS Mincho" w:hint="eastAsia"/>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E02B6C8" w14:textId="77777777" w:rsidR="00A15965" w:rsidRPr="00C0328A" w:rsidRDefault="00A15965" w:rsidP="00463857">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92AE39B" w14:textId="77777777" w:rsidR="00A15965" w:rsidRPr="00C0328A" w:rsidRDefault="00A15965" w:rsidP="00463857">
            <w:pPr>
              <w:spacing w:after="0"/>
              <w:jc w:val="center"/>
              <w:rPr>
                <w:rFonts w:eastAsia="MS Mincho"/>
              </w:rPr>
            </w:pPr>
            <w:r w:rsidRPr="00C0328A">
              <w:rPr>
                <w:rFonts w:eastAsia="MS Mincho" w:hint="eastAsia"/>
              </w:rPr>
              <w:t>303</w:t>
            </w:r>
          </w:p>
        </w:tc>
      </w:tr>
      <w:tr w:rsidR="00A15965" w:rsidRPr="00504BB1" w14:paraId="0356EAAD"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E8AFE65" w14:textId="77777777" w:rsidR="00A15965" w:rsidRPr="00504BB1" w:rsidRDefault="00A15965" w:rsidP="00463857">
            <w:pPr>
              <w:spacing w:after="0"/>
              <w:jc w:val="center"/>
              <w:rPr>
                <w:rFonts w:eastAsia="MS Mincho"/>
              </w:rPr>
            </w:pPr>
            <w:r w:rsidRPr="00504BB1">
              <w:rPr>
                <w:rFonts w:eastAsia="MS Mincho" w:hint="eastAsia"/>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54E4335" w14:textId="77777777" w:rsidR="00A15965" w:rsidRPr="00C0328A" w:rsidRDefault="00A15965" w:rsidP="00463857">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6750BE9" w14:textId="77777777" w:rsidR="00A15965" w:rsidRPr="00C0328A" w:rsidRDefault="00A15965" w:rsidP="00463857">
            <w:pPr>
              <w:spacing w:after="0"/>
              <w:jc w:val="center"/>
              <w:rPr>
                <w:rFonts w:eastAsia="MS Mincho"/>
              </w:rPr>
            </w:pPr>
            <w:r w:rsidRPr="00C0328A">
              <w:rPr>
                <w:rFonts w:eastAsia="MS Mincho" w:hint="eastAsia"/>
              </w:rPr>
              <w:t>254</w:t>
            </w:r>
          </w:p>
        </w:tc>
      </w:tr>
      <w:tr w:rsidR="00A15965" w:rsidRPr="00504BB1" w14:paraId="21816953"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8759A3B" w14:textId="77777777" w:rsidR="00A15965" w:rsidRPr="00504BB1" w:rsidRDefault="00A15965" w:rsidP="00463857">
            <w:pPr>
              <w:spacing w:after="0"/>
              <w:jc w:val="center"/>
              <w:rPr>
                <w:rFonts w:eastAsia="MS Mincho"/>
              </w:rPr>
            </w:pPr>
            <w:r w:rsidRPr="00504BB1">
              <w:rPr>
                <w:rFonts w:eastAsia="MS Mincho" w:hint="eastAsia"/>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2AAA9CB" w14:textId="77777777" w:rsidR="00A15965" w:rsidRPr="00C0328A" w:rsidRDefault="00A15965" w:rsidP="00463857">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8409ADA" w14:textId="77777777" w:rsidR="00A15965" w:rsidRPr="00C0328A" w:rsidRDefault="00A15965" w:rsidP="00463857">
            <w:pPr>
              <w:spacing w:after="0"/>
              <w:jc w:val="center"/>
              <w:rPr>
                <w:rFonts w:eastAsia="MS Mincho"/>
              </w:rPr>
            </w:pPr>
            <w:r w:rsidRPr="00C0328A">
              <w:rPr>
                <w:rFonts w:eastAsia="MS Mincho" w:hint="eastAsia"/>
              </w:rPr>
              <w:t>197</w:t>
            </w:r>
          </w:p>
        </w:tc>
      </w:tr>
      <w:tr w:rsidR="00A15965" w:rsidRPr="00504BB1" w14:paraId="1296E744"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B25D9B" w14:textId="77777777" w:rsidR="00A15965" w:rsidRPr="00504BB1" w:rsidRDefault="00A15965" w:rsidP="00463857">
            <w:pPr>
              <w:spacing w:after="0"/>
              <w:jc w:val="center"/>
              <w:rPr>
                <w:rFonts w:eastAsia="MS Mincho"/>
              </w:rPr>
            </w:pPr>
            <w:r w:rsidRPr="00504BB1">
              <w:rPr>
                <w:rFonts w:eastAsia="MS Mincho" w:hint="eastAsia"/>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1BDF5F2" w14:textId="77777777" w:rsidR="00A15965" w:rsidRPr="00C0328A" w:rsidRDefault="00A15965" w:rsidP="00463857">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F9141D2" w14:textId="77777777" w:rsidR="00A15965" w:rsidRPr="00C0328A" w:rsidRDefault="00A15965" w:rsidP="00463857">
            <w:pPr>
              <w:spacing w:after="0"/>
              <w:jc w:val="center"/>
              <w:rPr>
                <w:rFonts w:eastAsia="MS Mincho"/>
              </w:rPr>
            </w:pPr>
            <w:r w:rsidRPr="00C0328A">
              <w:rPr>
                <w:rFonts w:eastAsia="MS Mincho" w:hint="eastAsia"/>
              </w:rPr>
              <w:t>134</w:t>
            </w:r>
          </w:p>
        </w:tc>
      </w:tr>
      <w:tr w:rsidR="00A15965" w:rsidRPr="00504BB1" w14:paraId="5C6B79E5" w14:textId="77777777" w:rsidTr="00463857">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232C43D" w14:textId="77777777" w:rsidR="00A15965" w:rsidRPr="00504BB1" w:rsidRDefault="00A15965" w:rsidP="00463857">
            <w:pPr>
              <w:spacing w:after="0"/>
              <w:jc w:val="center"/>
              <w:rPr>
                <w:rFonts w:eastAsia="MS Mincho"/>
              </w:rPr>
            </w:pPr>
            <w:r w:rsidRPr="00504BB1">
              <w:rPr>
                <w:rFonts w:eastAsia="MS Mincho" w:hint="eastAsia"/>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09F3C44" w14:textId="77777777" w:rsidR="00A15965" w:rsidRPr="00504BB1" w:rsidRDefault="00A15965" w:rsidP="00463857">
            <w:pPr>
              <w:spacing w:after="0"/>
              <w:jc w:val="center"/>
              <w:rPr>
                <w:rFonts w:eastAsia="MS Mincho"/>
              </w:rPr>
            </w:pPr>
            <w:r w:rsidRPr="00504BB1">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D7C9F4" w14:textId="77777777" w:rsidR="00A15965" w:rsidRPr="00504BB1" w:rsidRDefault="00A15965" w:rsidP="00463857">
            <w:pPr>
              <w:spacing w:after="0"/>
              <w:jc w:val="center"/>
              <w:rPr>
                <w:rFonts w:eastAsia="MS Mincho"/>
              </w:rPr>
            </w:pPr>
            <w:r w:rsidRPr="00504BB1">
              <w:rPr>
                <w:rFonts w:eastAsia="MS Mincho" w:hint="eastAsia"/>
              </w:rPr>
              <w:t>67</w:t>
            </w:r>
          </w:p>
        </w:tc>
      </w:tr>
    </w:tbl>
    <w:p w14:paraId="22302162" w14:textId="77777777" w:rsidR="00A15965" w:rsidRDefault="00A15965" w:rsidP="00A15965">
      <w:pPr>
        <w:rPr>
          <w:rFonts w:eastAsia="MS Mincho"/>
        </w:rPr>
      </w:pPr>
    </w:p>
    <w:p w14:paraId="2B7D6240" w14:textId="77777777" w:rsidR="00A15965" w:rsidRDefault="00A15965" w:rsidP="00A15965">
      <w:pPr>
        <w:spacing w:after="0" w:line="240" w:lineRule="auto"/>
        <w:jc w:val="both"/>
      </w:pPr>
      <w:r w:rsidRPr="00C0328A">
        <w:t xml:space="preserve">Clearly, </w:t>
      </w:r>
      <w:r>
        <w:t>the difference d3 exceeds the maximum cell coverage supported by the NR preamble format of 2x 100 km for satellite elevation angles below 60 degrees. In such a case, NR preamble format needs to be extended for NTN system considering different footprint of NTN cells. So i</w:t>
      </w:r>
      <w:r w:rsidRPr="003B22EA">
        <w:t>t should be further studied if new random access preamble format is needed for spaceborne vehicles.</w:t>
      </w:r>
      <w:r>
        <w:t xml:space="preserve"> </w:t>
      </w:r>
    </w:p>
    <w:p w14:paraId="042F0D31" w14:textId="77777777" w:rsidR="00A15965" w:rsidRDefault="00A15965" w:rsidP="00A15965">
      <w:pPr>
        <w:spacing w:after="0" w:line="240" w:lineRule="auto"/>
        <w:jc w:val="both"/>
      </w:pPr>
    </w:p>
    <w:p w14:paraId="1C19BF69" w14:textId="77777777" w:rsidR="00A15965" w:rsidRDefault="00A15965" w:rsidP="00A15965">
      <w:pPr>
        <w:spacing w:after="0" w:line="240" w:lineRule="auto"/>
        <w:jc w:val="both"/>
        <w:rPr>
          <w:rFonts w:ascii="Times New Roman" w:hAnsi="Times New Roman" w:cs="Times New Roman"/>
          <w:lang w:eastAsia="zh-CN"/>
        </w:rPr>
      </w:pPr>
      <w:r>
        <w:t>With accurate geolocation and time, for example by using GNSS receiver to determine its position and the universal time, a UE is able to estimate the propagation delay and hence adjust the transmit time of PRACH accordingly. As a result, NR PRACH design principles or even NR PRACH waveforms can be directly used. Otherwise, at least differential delay needs to be considered and NR PRACH design principles need to be revisited.</w:t>
      </w:r>
    </w:p>
    <w:p w14:paraId="22D0D1E0" w14:textId="77777777" w:rsidR="00A15965" w:rsidRDefault="00A15965" w:rsidP="00A15965"/>
    <w:p w14:paraId="401030BA" w14:textId="77777777" w:rsidR="00A15965" w:rsidRPr="00DC26C7" w:rsidRDefault="00A15965" w:rsidP="00A15965">
      <w:pPr>
        <w:pStyle w:val="Titre2"/>
        <w:pBdr>
          <w:top w:val="none" w:sz="0" w:space="0" w:color="auto"/>
        </w:pBdr>
        <w:overflowPunct w:val="0"/>
        <w:autoSpaceDE w:val="0"/>
        <w:autoSpaceDN w:val="0"/>
        <w:adjustRightInd w:val="0"/>
        <w:rPr>
          <w:rFonts w:asciiTheme="minorHAnsi" w:hAnsiTheme="minorHAnsi" w:cstheme="minorBidi"/>
          <w:b/>
          <w:bCs/>
          <w:szCs w:val="24"/>
        </w:rPr>
      </w:pPr>
      <w:r w:rsidRPr="00DC26C7">
        <w:rPr>
          <w:rFonts w:asciiTheme="minorHAnsi" w:eastAsiaTheme="minorHAnsi" w:hAnsiTheme="minorHAnsi" w:cstheme="minorBidi"/>
          <w:b/>
          <w:bCs/>
          <w:sz w:val="22"/>
          <w:szCs w:val="24"/>
          <w:lang w:val="en-US" w:eastAsia="en-US"/>
        </w:rPr>
        <w:t xml:space="preserve">RACH Procedure </w:t>
      </w:r>
      <w:r>
        <w:rPr>
          <w:rFonts w:asciiTheme="minorHAnsi" w:eastAsiaTheme="minorHAnsi" w:hAnsiTheme="minorHAnsi" w:cstheme="minorBidi"/>
          <w:b/>
          <w:bCs/>
          <w:sz w:val="22"/>
          <w:szCs w:val="24"/>
          <w:lang w:val="en-US" w:eastAsia="en-US"/>
        </w:rPr>
        <w:t>[f]</w:t>
      </w:r>
    </w:p>
    <w:p w14:paraId="482A2BCF" w14:textId="77777777" w:rsidR="00A15965" w:rsidRDefault="00A15965" w:rsidP="00A15965">
      <w:pPr>
        <w:jc w:val="both"/>
        <w:rPr>
          <w:lang w:eastAsia="zh-CN"/>
        </w:rPr>
      </w:pPr>
      <w:r w:rsidRPr="000716B2">
        <w:t>For PRACH procedure design, it is nece</w:t>
      </w:r>
      <w:r>
        <w:t>ssary to consider its impact for</w:t>
      </w:r>
      <w:r w:rsidRPr="000716B2">
        <w:t xml:space="preserve"> different aspects of NR design</w:t>
      </w:r>
      <w:r w:rsidRPr="000716B2">
        <w:rPr>
          <w:rFonts w:hint="eastAsia"/>
        </w:rPr>
        <w:t>.</w:t>
      </w:r>
    </w:p>
    <w:p w14:paraId="14DF6EAE" w14:textId="77777777" w:rsidR="00A15965" w:rsidRPr="00F9418E" w:rsidRDefault="00A15965" w:rsidP="00A15965">
      <w:pPr>
        <w:jc w:val="both"/>
        <w:rPr>
          <w:lang w:eastAsia="zh-CN"/>
        </w:rPr>
      </w:pPr>
      <w:r>
        <w:rPr>
          <w:rFonts w:hint="eastAsia"/>
          <w:lang w:eastAsia="zh-CN"/>
        </w:rPr>
        <w:t>Here, we</w:t>
      </w:r>
      <w:r>
        <w:rPr>
          <w:lang w:eastAsia="zh-CN"/>
        </w:rPr>
        <w:t xml:space="preserve"> will discuss about the RAR window in NTN. </w:t>
      </w:r>
      <w:r w:rsidRPr="006D2504">
        <w:t>As</w:t>
      </w:r>
      <w:r>
        <w:t xml:space="preserve"> we known</w:t>
      </w:r>
      <w:r w:rsidRPr="006D2504">
        <w:t xml:space="preserve">, the maximum random access (RA) response window size </w:t>
      </w:r>
      <w:r>
        <w:t>in NR</w:t>
      </w:r>
      <w:r w:rsidRPr="006D2504">
        <w:t xml:space="preserve"> may not be sufficient to support the </w:t>
      </w:r>
      <w:r>
        <w:t>random access</w:t>
      </w:r>
      <w:r w:rsidRPr="006D2504">
        <w:t xml:space="preserve"> procedure in NTN</w:t>
      </w:r>
      <w:r>
        <w:t xml:space="preserve"> due to large propagation delay</w:t>
      </w:r>
      <w:r w:rsidRPr="006D2504">
        <w:t xml:space="preserve">. A straightforward way to tackle this problem is to allow the BS to configure larger RA response window sizes in NTN. However, extending the RA response window size causes in the existing procedure introduces unnecessary </w:t>
      </w:r>
      <w:r>
        <w:t xml:space="preserve">UE </w:t>
      </w:r>
      <w:r w:rsidRPr="006D2504">
        <w:t>monitoring intervals due to large propagation delay in NTNs. This is undesirable as more power consumption will be required at the UE side</w:t>
      </w:r>
      <w:r>
        <w:t>.</w:t>
      </w:r>
      <w:r>
        <w:rPr>
          <w:rFonts w:hint="eastAsia"/>
        </w:rPr>
        <w:t xml:space="preserve"> </w:t>
      </w:r>
      <w:r w:rsidRPr="006D2504">
        <w:t>Therefore, an improved solution to handle long propagation delay is to let a UE go into power saving mode after preamble transmission and wake up only when the RA response window starts</w:t>
      </w:r>
      <w:r>
        <w:rPr>
          <w:rFonts w:hint="eastAsia"/>
        </w:rPr>
        <w:t>. A</w:t>
      </w:r>
      <w:r>
        <w:t>s a result,</w:t>
      </w:r>
      <w:r>
        <w:rPr>
          <w:rFonts w:hint="eastAsia"/>
        </w:rPr>
        <w:t xml:space="preserve"> it is necessary to enlarge the </w:t>
      </w:r>
      <w:r w:rsidRPr="000C01D8">
        <w:t>current window for the PRACH response in NR. To put it another way</w:t>
      </w:r>
      <w:r>
        <w:t>,</w:t>
      </w:r>
      <w:r w:rsidRPr="000C01D8">
        <w:rPr>
          <w:color w:val="000000"/>
        </w:rPr>
        <w:t xml:space="preserve"> </w:t>
      </w:r>
      <w:r>
        <w:rPr>
          <w:color w:val="000000"/>
        </w:rPr>
        <w:t xml:space="preserve">the value between PRACH transmission time and start time of the RAR window, has to be adjusted correctly taking NTN RTT into account. </w:t>
      </w:r>
    </w:p>
    <w:p w14:paraId="5AA5D1D1" w14:textId="77777777" w:rsidR="00A15965" w:rsidRDefault="00A15965" w:rsidP="00A15965">
      <w:pPr>
        <w:spacing w:after="0" w:line="240" w:lineRule="auto"/>
        <w:jc w:val="both"/>
      </w:pPr>
      <w:r w:rsidRPr="000716B2">
        <w:t>Huge propagation delay [66.7μs, 120ms] corresponding to BS heights [8km, 35786km] will lead to long RA response procedure as shown in</w:t>
      </w:r>
      <w:r>
        <w:t xml:space="preserve"> </w:t>
      </w:r>
      <w:r w:rsidRPr="004F61A3">
        <w:rPr>
          <w:rFonts w:cs="Times New Roman"/>
          <w:lang w:eastAsia="zh-CN"/>
        </w:rPr>
        <w:t>Figure 7.3.4.</w:t>
      </w:r>
      <w:r>
        <w:rPr>
          <w:rFonts w:cs="Times New Roman"/>
          <w:lang w:eastAsia="zh-CN"/>
        </w:rPr>
        <w:t>1</w:t>
      </w:r>
      <w:r w:rsidRPr="004F61A3">
        <w:rPr>
          <w:rFonts w:cs="Times New Roman"/>
          <w:lang w:eastAsia="zh-CN"/>
        </w:rPr>
        <w:t>-3</w:t>
      </w:r>
      <w:r>
        <w:rPr>
          <w:rFonts w:cs="Times New Roman"/>
          <w:lang w:eastAsia="zh-CN"/>
        </w:rPr>
        <w:t>.</w:t>
      </w:r>
      <w:r w:rsidRPr="000716B2">
        <w:t xml:space="preserve"> As a result, it is necessary to shorten the RA transmission/ retransmission delay and design an NTN-specific RAR window based on the given BS information to make the UE efficient and power saving </w:t>
      </w:r>
      <w:r w:rsidRPr="00591C2E">
        <w:t xml:space="preserve">4-step gNB-UE hands-shaking </w:t>
      </w:r>
      <w:r w:rsidRPr="00591C2E">
        <w:lastRenderedPageBreak/>
        <w:t>transmission/retransmission legacy mechanism should be revised to accommodate the NTN due to huge access delay.</w:t>
      </w:r>
      <w:r>
        <w:t xml:space="preserve"> 2-step RACH procedure could be studied for NR supporting NTN as well. </w:t>
      </w:r>
      <w:r w:rsidRPr="000716B2">
        <w:t xml:space="preserve">So, </w:t>
      </w:r>
      <w:r>
        <w:t>the enhancement on R</w:t>
      </w:r>
      <w:r w:rsidRPr="000716B2">
        <w:t xml:space="preserve">ACH procedure </w:t>
      </w:r>
      <w:r w:rsidRPr="000716B2">
        <w:rPr>
          <w:rFonts w:hint="eastAsia"/>
        </w:rPr>
        <w:t>design</w:t>
      </w:r>
      <w:r w:rsidRPr="000716B2">
        <w:t xml:space="preserve"> </w:t>
      </w:r>
      <w:r w:rsidRPr="000716B2">
        <w:rPr>
          <w:rFonts w:hint="eastAsia"/>
        </w:rPr>
        <w:t>is</w:t>
      </w:r>
      <w:r w:rsidRPr="000716B2">
        <w:t xml:space="preserve"> needed in NTN with long propagation delay considering UE power, information interaction</w:t>
      </w:r>
      <w:r>
        <w:t xml:space="preserve"> and </w:t>
      </w:r>
      <w:r w:rsidRPr="000716B2">
        <w:t>fast TA updating.</w:t>
      </w:r>
    </w:p>
    <w:p w14:paraId="266F1924" w14:textId="77777777" w:rsidR="00A15965" w:rsidRPr="000716B2" w:rsidRDefault="00A15965" w:rsidP="00A15965">
      <w:pPr>
        <w:spacing w:after="0" w:line="240" w:lineRule="auto"/>
        <w:jc w:val="both"/>
      </w:pPr>
    </w:p>
    <w:p w14:paraId="0F24483B" w14:textId="77777777" w:rsidR="00A15965" w:rsidRDefault="00A15965" w:rsidP="00A15965">
      <w:pPr>
        <w:tabs>
          <w:tab w:val="left" w:pos="1985"/>
        </w:tabs>
        <w:overflowPunct w:val="0"/>
        <w:autoSpaceDE w:val="0"/>
        <w:autoSpaceDN w:val="0"/>
        <w:adjustRightInd w:val="0"/>
        <w:spacing w:after="120"/>
        <w:jc w:val="center"/>
        <w:textAlignment w:val="baseline"/>
        <w:rPr>
          <w:rFonts w:cs="Times New Roman"/>
          <w:lang w:eastAsia="zh-CN"/>
        </w:rPr>
      </w:pPr>
      <w:r w:rsidRPr="00C758CF">
        <w:rPr>
          <w:iCs/>
          <w:noProof/>
          <w:color w:val="000000" w:themeColor="text1"/>
          <w:lang w:val="en-GB" w:eastAsia="en-GB"/>
        </w:rPr>
        <w:drawing>
          <wp:inline distT="0" distB="0" distL="0" distR="0" wp14:anchorId="467F3730" wp14:editId="19750D9F">
            <wp:extent cx="5971540" cy="3358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71540" cy="3358515"/>
                    </a:xfrm>
                    <a:prstGeom prst="rect">
                      <a:avLst/>
                    </a:prstGeom>
                  </pic:spPr>
                </pic:pic>
              </a:graphicData>
            </a:graphic>
          </wp:inline>
        </w:drawing>
      </w:r>
      <w:r w:rsidRPr="004F61A3">
        <w:rPr>
          <w:rFonts w:cs="Times New Roman"/>
          <w:lang w:eastAsia="zh-CN"/>
        </w:rPr>
        <w:t xml:space="preserve">Figure </w:t>
      </w:r>
      <w:r>
        <w:rPr>
          <w:rFonts w:cs="Times New Roman"/>
          <w:lang w:eastAsia="zh-CN"/>
        </w:rPr>
        <w:t>2.3-2</w:t>
      </w:r>
      <w:r w:rsidRPr="004F61A3">
        <w:rPr>
          <w:rFonts w:cs="Times New Roman"/>
          <w:lang w:eastAsia="zh-CN"/>
        </w:rPr>
        <w:t>: Random access design for NTN with long propagation delay</w:t>
      </w:r>
    </w:p>
    <w:p w14:paraId="71A1B5F7" w14:textId="77777777" w:rsidR="00426BC6" w:rsidRPr="00C758CF" w:rsidRDefault="00426BC6" w:rsidP="00C758CF">
      <w:pPr>
        <w:jc w:val="both"/>
      </w:pPr>
    </w:p>
    <w:p w14:paraId="7352B595" w14:textId="0DCEF3CA" w:rsidR="009D59EB" w:rsidRPr="00E56599" w:rsidRDefault="009D59EB" w:rsidP="009D59EB">
      <w:pPr>
        <w:pStyle w:val="Titre2"/>
        <w:pBdr>
          <w:top w:val="none" w:sz="0" w:space="0" w:color="auto"/>
        </w:pBdr>
        <w:overflowPunct w:val="0"/>
        <w:autoSpaceDE w:val="0"/>
        <w:autoSpaceDN w:val="0"/>
        <w:adjustRightInd w:val="0"/>
        <w:rPr>
          <w:rFonts w:eastAsia="SimSun" w:cs="Times New Roman"/>
          <w:color w:val="auto"/>
          <w:szCs w:val="20"/>
          <w:lang w:eastAsia="en-US"/>
        </w:rPr>
      </w:pPr>
      <w:commentRangeStart w:id="13"/>
      <w:r>
        <w:rPr>
          <w:rFonts w:eastAsia="SimSun" w:cs="Times New Roman"/>
          <w:color w:val="auto"/>
          <w:szCs w:val="20"/>
          <w:lang w:eastAsia="en-US"/>
        </w:rPr>
        <w:t>2.4</w:t>
      </w:r>
      <w:r w:rsidRPr="00E56599">
        <w:rPr>
          <w:rFonts w:eastAsia="SimSun" w:cs="Times New Roman"/>
          <w:color w:val="auto"/>
          <w:szCs w:val="20"/>
          <w:lang w:eastAsia="en-US"/>
        </w:rPr>
        <w:tab/>
      </w:r>
      <w:commentRangeEnd w:id="13"/>
      <w:r>
        <w:t>Timing advance adjustment</w:t>
      </w:r>
      <w:r>
        <w:rPr>
          <w:rStyle w:val="Marquedecommentaire"/>
          <w:rFonts w:asciiTheme="minorHAnsi" w:eastAsiaTheme="minorHAnsi" w:hAnsiTheme="minorHAnsi" w:cstheme="minorBidi"/>
          <w:lang w:val="en-US" w:eastAsia="en-US"/>
        </w:rPr>
        <w:commentReference w:id="13"/>
      </w:r>
    </w:p>
    <w:p w14:paraId="470CFFD4" w14:textId="77777777" w:rsidR="009D59EB" w:rsidRDefault="009D59EB" w:rsidP="009D59EB"/>
    <w:p w14:paraId="11B9948C" w14:textId="0F5DA74A" w:rsidR="00C20AC5" w:rsidRPr="00894318" w:rsidRDefault="00C20AC5" w:rsidP="00C20AC5">
      <w:pPr>
        <w:pStyle w:val="Titre5"/>
      </w:pPr>
      <w:r>
        <w:t>2.4</w:t>
      </w:r>
      <w:r>
        <w:t>.1</w:t>
      </w:r>
      <w:r w:rsidRPr="00894318">
        <w:t xml:space="preserve"> Problem statement</w:t>
      </w:r>
    </w:p>
    <w:p w14:paraId="17848705" w14:textId="77777777" w:rsidR="00C20AC5" w:rsidRDefault="00C20AC5" w:rsidP="00C20AC5">
      <w:pPr>
        <w:rPr>
          <w:lang w:val="en-GB"/>
        </w:rPr>
      </w:pPr>
      <w:r>
        <w:rPr>
          <w:lang w:val="en-GB"/>
        </w:rPr>
        <w:t>MEO, LEO and HAPS systems feature a strong varying delay because satellite/HAPS and UE are fast-moving and are not relatively static. In this case, some problems arise, the individual timing advances of the UEs have to be fast dynamically updated and appropriate TA index values are needed to solve the long strong delay in the overall distance of the propagation on NTN link.</w:t>
      </w:r>
    </w:p>
    <w:p w14:paraId="523C7B38" w14:textId="77777777" w:rsidR="00C20AC5" w:rsidRDefault="00C20AC5" w:rsidP="00C20AC5">
      <w:r>
        <w:t>This chapter highlights the fact that there is a strong requirement for fast TA adjustment in case of satellite links compared to terrestrial communication, as the distance of the mobile terminal to the base station is only varying slowly (compared to the speed of a spacecraft) due to terminal mobility in terrestrial case. The issues or technical problems to solve, related to TA alignment in Satellite communications, are as follows:</w:t>
      </w:r>
    </w:p>
    <w:p w14:paraId="754FFA38" w14:textId="77777777" w:rsidR="00C20AC5" w:rsidRDefault="00C20AC5" w:rsidP="00C20AC5">
      <w:pPr>
        <w:pStyle w:val="Paragraphedeliste"/>
        <w:numPr>
          <w:ilvl w:val="0"/>
          <w:numId w:val="5"/>
        </w:numPr>
      </w:pPr>
      <w:r>
        <w:t>A strong delay variation is caused by moving satellites (e.g. in LEO and MEO orbits) generating a fast change in the overall distance of the propagation from UE over Satellite to BS.</w:t>
      </w:r>
    </w:p>
    <w:p w14:paraId="183F1F3F" w14:textId="77777777" w:rsidR="00C20AC5" w:rsidRPr="00F463E3" w:rsidRDefault="00C20AC5" w:rsidP="00C20AC5">
      <w:pPr>
        <w:pStyle w:val="Paragraphedeliste"/>
        <w:numPr>
          <w:ilvl w:val="0"/>
          <w:numId w:val="5"/>
        </w:numPr>
        <w:rPr>
          <w:rFonts w:eastAsia="SimSun"/>
        </w:rPr>
      </w:pPr>
      <w:r>
        <w:t>The delay is much longer over a satellite link than one TTI (in LTE 1 ms)</w:t>
      </w:r>
    </w:p>
    <w:p w14:paraId="489E72C0" w14:textId="77777777" w:rsidR="00C20AC5" w:rsidRPr="00A5076B" w:rsidRDefault="00C20AC5" w:rsidP="00C20AC5">
      <w:r>
        <w:lastRenderedPageBreak/>
        <w:t xml:space="preserve">The delay over satellite links (earth hub station containing a BS </w:t>
      </w:r>
      <w:r>
        <w:sym w:font="Wingdings" w:char="F0E0"/>
      </w:r>
      <w:r>
        <w:t xml:space="preserve"> satellite </w:t>
      </w:r>
      <w:r>
        <w:sym w:font="Wingdings" w:char="F0E0"/>
      </w:r>
      <w:r>
        <w:t xml:space="preserve"> mobile terminal) has a strongly variable delay in case of non-geostationary satellites. LTE and NR require that all mobile terminals have to transmit on the return link such that all signals arrive synchronously at the earth hub station / BS within the cyclic prefix (CP) (in LTE and NR with 15 kHz SCS: 4.7 μs). So, the individual TA’s of the mobile terminals have to be adjusted dynamically over time, according to variable distance between BS and UE, e.g. due to movement by cars, planes, by pedestrians etc. In case of terrestrial communication, the distance (and thus the delay over the transmission link) is determined only by the rather low mobility of the UE (compared to satellite speeds), since all BS are normally static. </w:t>
      </w:r>
    </w:p>
    <w:p w14:paraId="01A518CE" w14:textId="63C9E1A2" w:rsidR="00C20AC5" w:rsidRPr="00456816" w:rsidRDefault="00C20AC5" w:rsidP="00C20AC5">
      <w:pPr>
        <w:pStyle w:val="Titre5"/>
      </w:pPr>
      <w:r>
        <w:t>2.4.1</w:t>
      </w:r>
      <w:r w:rsidRPr="00456816">
        <w:t>.2 Assessment of conditions for NR operation in Non-Terrestrial networks</w:t>
      </w:r>
    </w:p>
    <w:p w14:paraId="35B53D46" w14:textId="77777777" w:rsidR="00C20AC5" w:rsidRDefault="00C20AC5" w:rsidP="00C20AC5">
      <w:pPr>
        <w:rPr>
          <w:lang w:val="en-GB"/>
        </w:rPr>
      </w:pPr>
      <w:r>
        <w:rPr>
          <w:lang w:val="en-GB"/>
        </w:rPr>
        <w:t xml:space="preserve">DL/UL transmissions are organized into frames with 10ms duration, where one frame consists of 10 </w:t>
      </w:r>
      <w:proofErr w:type="spellStart"/>
      <w:r>
        <w:rPr>
          <w:lang w:val="en-GB"/>
        </w:rPr>
        <w:t>subframes</w:t>
      </w:r>
      <w:proofErr w:type="spellEnd"/>
      <w:r>
        <w:rPr>
          <w:lang w:val="en-GB"/>
        </w:rPr>
        <w:t xml:space="preserve"> of 1ms duration each, and is divided into two equally-sized of 5 </w:t>
      </w:r>
      <w:proofErr w:type="spellStart"/>
      <w:r>
        <w:rPr>
          <w:lang w:val="en-GB"/>
        </w:rPr>
        <w:t>subframes</w:t>
      </w:r>
      <w:proofErr w:type="spellEnd"/>
      <w:r>
        <w:rPr>
          <w:lang w:val="en-GB"/>
        </w:rPr>
        <w:t xml:space="preserve"> each [2]. Timing advance (TA) is necessary to ensure that the downlink and uplink </w:t>
      </w:r>
      <w:proofErr w:type="spellStart"/>
      <w:r>
        <w:rPr>
          <w:lang w:val="en-GB"/>
        </w:rPr>
        <w:t>subframes</w:t>
      </w:r>
      <w:proofErr w:type="spellEnd"/>
      <w:r>
        <w:rPr>
          <w:lang w:val="en-GB"/>
        </w:rPr>
        <w:t xml:space="preserve"> are synchronized at the </w:t>
      </w:r>
      <w:proofErr w:type="spellStart"/>
      <w:r>
        <w:rPr>
          <w:lang w:val="en-GB"/>
        </w:rPr>
        <w:t>gNB</w:t>
      </w:r>
      <w:proofErr w:type="spellEnd"/>
      <w:r>
        <w:rPr>
          <w:lang w:val="en-GB"/>
        </w:rPr>
        <w:t xml:space="preserve">. </w:t>
      </w:r>
    </w:p>
    <w:p w14:paraId="04FC873E" w14:textId="77777777" w:rsidR="00C20AC5" w:rsidRDefault="00C20AC5" w:rsidP="00C20AC5">
      <w:pPr>
        <w:rPr>
          <w:rFonts w:eastAsia="MS Mincho"/>
        </w:rPr>
      </w:pPr>
      <w:r w:rsidRPr="00B916EC">
        <w:t xml:space="preserve">The </w:t>
      </w:r>
      <w:r>
        <w:t>TA</w:t>
      </w:r>
      <w:r w:rsidRPr="00B916EC">
        <w:t xml:space="preserve"> indication specified in </w:t>
      </w:r>
      <w:r>
        <w:t>[</w:t>
      </w:r>
      <w:r w:rsidRPr="00B916EC">
        <w:t xml:space="preserve">TS 38.331] </w:t>
      </w:r>
      <w:r w:rsidRPr="00B916EC">
        <w:rPr>
          <w:rFonts w:eastAsia="MS Mincho" w:hint="eastAsia"/>
        </w:rPr>
        <w:t>indicates the</w:t>
      </w:r>
      <w:r w:rsidRPr="00B916EC">
        <w:rPr>
          <w:rFonts w:eastAsia="MS Mincho"/>
        </w:rPr>
        <w:t xml:space="preserve"> initial</w:t>
      </w:r>
      <w:r w:rsidRPr="00B916EC">
        <w:rPr>
          <w:rFonts w:eastAsia="MS Mincho" w:hint="eastAsia"/>
        </w:rPr>
        <w:t xml:space="preserve"> </w:t>
      </w:r>
      <w:r w:rsidRPr="00B916EC">
        <w:rPr>
          <w:position w:val="-10"/>
        </w:rPr>
        <w:object w:dxaOrig="400" w:dyaOrig="300" w14:anchorId="3C3DF021">
          <v:shape id="_x0000_i1026" type="#_x0000_t75" style="width:20.25pt;height:15pt" o:ole="">
            <v:imagedata r:id="rId16" o:title=""/>
          </v:shape>
          <o:OLEObject Type="Embed" ProgID="Equation.3" ShapeID="_x0000_i1026" DrawAspect="Content" ObjectID="_1588735743" r:id="rId17"/>
        </w:object>
      </w:r>
      <w:r w:rsidRPr="00B916EC">
        <w:rPr>
          <w:rFonts w:eastAsia="MS Mincho"/>
        </w:rPr>
        <w:t xml:space="preserve"> used for a </w:t>
      </w:r>
      <w:r>
        <w:rPr>
          <w:rFonts w:eastAsia="MS Mincho"/>
        </w:rPr>
        <w:t>TA Group (</w:t>
      </w:r>
      <w:r w:rsidRPr="00B916EC">
        <w:rPr>
          <w:rFonts w:eastAsia="MS Mincho"/>
        </w:rPr>
        <w:t>TAG</w:t>
      </w:r>
      <w:r>
        <w:rPr>
          <w:rFonts w:eastAsia="MS Mincho"/>
        </w:rPr>
        <w:t>)</w:t>
      </w:r>
      <w:r w:rsidRPr="00B916EC">
        <w:rPr>
          <w:rFonts w:eastAsia="MS Mincho"/>
        </w:rPr>
        <w:t xml:space="preserve">. For a subcarrier spacing of </w:t>
      </w:r>
      <w:r w:rsidRPr="00B916EC">
        <w:rPr>
          <w:position w:val="-6"/>
        </w:rPr>
        <w:object w:dxaOrig="560" w:dyaOrig="300" w14:anchorId="2F32050B">
          <v:shape id="_x0000_i1027" type="#_x0000_t75" style="width:27.75pt;height:15pt" o:ole="">
            <v:imagedata r:id="rId18" o:title=""/>
          </v:shape>
          <o:OLEObject Type="Embed" ProgID="Equation.3" ShapeID="_x0000_i1027" DrawAspect="Content" ObjectID="_1588735744" r:id="rId19"/>
        </w:object>
      </w:r>
      <w:r w:rsidRPr="00B916EC">
        <w:t xml:space="preserve"> kHz, the </w:t>
      </w:r>
      <w:r>
        <w:t>TA</w:t>
      </w:r>
      <w:r w:rsidRPr="00B916EC">
        <w:t xml:space="preserv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as</w:t>
      </w:r>
      <w:r w:rsidRPr="00B916EC">
        <w:t xml:space="preserve"> multiples of </w:t>
      </w:r>
      <w:r w:rsidRPr="00B916EC">
        <w:rPr>
          <w:position w:val="-10"/>
        </w:rPr>
        <w:object w:dxaOrig="1160" w:dyaOrig="340" w14:anchorId="2CF855C8">
          <v:shape id="_x0000_i1028" type="#_x0000_t75" style="width:56.25pt;height:17.25pt" o:ole="">
            <v:imagedata r:id="rId20" o:title=""/>
          </v:shape>
          <o:OLEObject Type="Embed" ProgID="Equation.3" ShapeID="_x0000_i1028" DrawAspect="Content" ObjectID="_1588735745" r:id="rId21"/>
        </w:object>
      </w:r>
      <w:r w:rsidRPr="00B916EC">
        <w:t>.</w:t>
      </w:r>
      <w:r w:rsidRPr="00B916EC">
        <w:rPr>
          <w:rFonts w:eastAsia="MS Mincho" w:hint="eastAsia"/>
        </w:rPr>
        <w:t xml:space="preserve"> The start timing of the random access preamble is specified in </w:t>
      </w:r>
      <w:r w:rsidRPr="00B916EC">
        <w:t>[4, TS 38.211</w:t>
      </w:r>
      <w:r w:rsidRPr="00B916EC">
        <w:rPr>
          <w:rFonts w:eastAsia="MS Mincho" w:hint="eastAsia"/>
        </w:rPr>
        <w:t>]</w:t>
      </w:r>
      <w:r w:rsidRPr="00B916EC">
        <w:rPr>
          <w:rFonts w:eastAsia="MS Mincho"/>
        </w:rPr>
        <w:t>.</w:t>
      </w:r>
      <w:r>
        <w:rPr>
          <w:rFonts w:eastAsia="MS Mincho"/>
        </w:rPr>
        <w:t xml:space="preserve"> </w:t>
      </w:r>
    </w:p>
    <w:p w14:paraId="66DD082C" w14:textId="77777777" w:rsidR="00C20AC5" w:rsidRDefault="00C20AC5" w:rsidP="00C20AC5">
      <w:pPr>
        <w:rPr>
          <w:lang w:val="en-GB"/>
        </w:rPr>
      </w:pPr>
      <w:r w:rsidRPr="00B916EC">
        <w:rPr>
          <w:rFonts w:hint="eastAsia"/>
        </w:rPr>
        <w:t>In other cases,</w:t>
      </w:r>
      <w:r w:rsidRPr="00B916EC">
        <w:t xml:space="preserve"> a</w:t>
      </w:r>
      <w:r w:rsidRPr="00B916EC">
        <w:rPr>
          <w:rFonts w:hint="eastAsia"/>
        </w:rPr>
        <w:t xml:space="preserve"> timing advance command </w:t>
      </w:r>
      <w:r>
        <w:t>[</w:t>
      </w:r>
      <w:r w:rsidRPr="00B916EC">
        <w:t xml:space="preserve"> TS 38.321]</w:t>
      </w:r>
      <w:r w:rsidRPr="00B916EC">
        <w:rPr>
          <w:rFonts w:hint="eastAsia"/>
        </w:rPr>
        <w:t xml:space="preserve">, </w:t>
      </w:r>
      <w:r w:rsidRPr="00B916EC">
        <w:rPr>
          <w:position w:val="-10"/>
        </w:rPr>
        <w:object w:dxaOrig="260" w:dyaOrig="300" w14:anchorId="4DFFAAE1">
          <v:shape id="_x0000_i1029" type="#_x0000_t75" style="width:12.75pt;height:15pt" o:ole="">
            <v:imagedata r:id="rId22" o:title=""/>
          </v:shape>
          <o:OLEObject Type="Embed" ProgID="Equation.3" ShapeID="_x0000_i1029" DrawAspect="Content" ObjectID="_1588735746" r:id="rId23"/>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the current</w:t>
      </w:r>
      <w:r w:rsidRPr="00B916EC">
        <w:rPr>
          <w:rFonts w:eastAsia="MS Mincho" w:hint="eastAsia"/>
        </w:rPr>
        <w:t xml:space="preserve"> </w:t>
      </w:r>
      <w:r w:rsidRPr="00B916EC">
        <w:rPr>
          <w:position w:val="-10"/>
        </w:rPr>
        <w:object w:dxaOrig="400" w:dyaOrig="300" w14:anchorId="644B4FAE">
          <v:shape id="_x0000_i1030" type="#_x0000_t75" style="width:20.25pt;height:15pt" o:ole="">
            <v:imagedata r:id="rId16" o:title=""/>
          </v:shape>
          <o:OLEObject Type="Embed" ProgID="Equation.3" ShapeID="_x0000_i1030" DrawAspect="Content" ObjectID="_1588735747" r:id="rId24"/>
        </w:object>
      </w:r>
      <w:r w:rsidRPr="00B916EC">
        <w:rPr>
          <w:rFonts w:hint="eastAsia"/>
          <w:i/>
        </w:rPr>
        <w:t xml:space="preserve"> </w:t>
      </w:r>
      <w:r w:rsidRPr="00B916EC">
        <w:rPr>
          <w:rFonts w:hint="eastAsia"/>
        </w:rPr>
        <w:t xml:space="preserve">value, </w:t>
      </w:r>
      <w:r w:rsidRPr="00B916EC">
        <w:rPr>
          <w:position w:val="-12"/>
        </w:rPr>
        <w:object w:dxaOrig="620" w:dyaOrig="320" w14:anchorId="383CAD2A">
          <v:shape id="_x0000_i1031" type="#_x0000_t75" style="width:30pt;height:15.75pt" o:ole="">
            <v:imagedata r:id="rId25" o:title=""/>
          </v:shape>
          <o:OLEObject Type="Embed" ProgID="Equation.3" ShapeID="_x0000_i1031" DrawAspect="Content" ObjectID="_1588735748" r:id="rId26"/>
        </w:object>
      </w:r>
      <w:r w:rsidRPr="00B916EC">
        <w:rPr>
          <w:rFonts w:hint="eastAsia"/>
        </w:rPr>
        <w:t xml:space="preserve">, to the new </w:t>
      </w:r>
      <w:r w:rsidRPr="00B916EC">
        <w:rPr>
          <w:position w:val="-10"/>
        </w:rPr>
        <w:object w:dxaOrig="400" w:dyaOrig="300" w14:anchorId="0ACBEDC4">
          <v:shape id="_x0000_i1032" type="#_x0000_t75" style="width:20.25pt;height:15pt" o:ole="">
            <v:imagedata r:id="rId16" o:title=""/>
          </v:shape>
          <o:OLEObject Type="Embed" ProgID="Equation.3" ShapeID="_x0000_i1032" DrawAspect="Content" ObjectID="_1588735749" r:id="rId27"/>
        </w:object>
      </w:r>
      <w:r w:rsidRPr="00B916EC">
        <w:rPr>
          <w:rFonts w:hint="eastAsia"/>
          <w:i/>
        </w:rPr>
        <w:t xml:space="preserve"> </w:t>
      </w:r>
      <w:r w:rsidRPr="00B916EC">
        <w:rPr>
          <w:rFonts w:hint="eastAsia"/>
        </w:rPr>
        <w:t xml:space="preserve">value, </w:t>
      </w:r>
      <w:r w:rsidRPr="00B916EC">
        <w:rPr>
          <w:position w:val="-12"/>
        </w:rPr>
        <w:object w:dxaOrig="660" w:dyaOrig="320" w14:anchorId="4C6D32F2">
          <v:shape id="_x0000_i1033" type="#_x0000_t75" style="width:32.25pt;height:15.75pt" o:ole="">
            <v:imagedata r:id="rId28" o:title=""/>
          </v:shape>
          <o:OLEObject Type="Embed" ProgID="Equation.3" ShapeID="_x0000_i1033" DrawAspect="Content" ObjectID="_1588735750" r:id="rId29"/>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14485757">
          <v:shape id="_x0000_i1034" type="#_x0000_t75" style="width:12.75pt;height:15pt" o:ole="">
            <v:imagedata r:id="rId22" o:title=""/>
          </v:shape>
          <o:OLEObject Type="Embed" ProgID="Equation.3" ShapeID="_x0000_i1034" DrawAspect="Content" ObjectID="_1588735751" r:id="rId30"/>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MS Mincho"/>
        </w:rPr>
        <w:t xml:space="preserve">subcarrier spacing of </w:t>
      </w:r>
      <w:r w:rsidRPr="00B916EC">
        <w:rPr>
          <w:position w:val="-6"/>
        </w:rPr>
        <w:object w:dxaOrig="560" w:dyaOrig="300" w14:anchorId="364B6DE3">
          <v:shape id="_x0000_i1035" type="#_x0000_t75" style="width:27.75pt;height:15pt" o:ole="">
            <v:imagedata r:id="rId31" o:title=""/>
          </v:shape>
          <o:OLEObject Type="Embed" ProgID="Equation.3" ShapeID="_x0000_i1035" DrawAspect="Content" ObjectID="_1588735752" r:id="rId32"/>
        </w:object>
      </w:r>
      <w:r w:rsidRPr="00B916EC">
        <w:t xml:space="preserve"> kHz, </w:t>
      </w:r>
      <w:r w:rsidRPr="00B916EC">
        <w:rPr>
          <w:position w:val="-12"/>
        </w:rPr>
        <w:object w:dxaOrig="3200" w:dyaOrig="360" w14:anchorId="06C369AC">
          <v:shape id="_x0000_i1036" type="#_x0000_t75" style="width:156pt;height:18pt" o:ole="">
            <v:imagedata r:id="rId33" o:title=""/>
          </v:shape>
          <o:OLEObject Type="Embed" ProgID="Equation.3" ShapeID="_x0000_i1036" DrawAspect="Content" ObjectID="_1588735753" r:id="rId34"/>
        </w:object>
      </w:r>
      <w:r w:rsidRPr="00B916EC">
        <w:rPr>
          <w:rFonts w:hint="eastAsia"/>
        </w:rPr>
        <w:t>.</w:t>
      </w:r>
      <w:r>
        <w:t xml:space="preserve"> </w:t>
      </w:r>
      <w:r>
        <w:rPr>
          <w:lang w:val="en-GB"/>
        </w:rPr>
        <w:t xml:space="preserve">As shown in Figure 1, transmission of uplink frame number </w:t>
      </w:r>
      <m:oMath>
        <m:r>
          <w:rPr>
            <w:rFonts w:ascii="Cambria Math" w:hAnsi="Cambria Math"/>
            <w:lang w:val="en-GB"/>
          </w:rPr>
          <m:t>i</m:t>
        </m:r>
      </m:oMath>
      <w:r>
        <w:rPr>
          <w:lang w:val="en-GB"/>
        </w:rPr>
        <w:t xml:space="preserve"> from the UE shall start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TA</m:t>
            </m:r>
          </m:sub>
        </m:sSub>
        <m:r>
          <w:rPr>
            <w:rFonts w:ascii="Cambria Math" w:hAnsi="Cambria Math"/>
            <w:lang w:val="en-GB"/>
          </w:rPr>
          <m:t>=</m:t>
        </m:r>
        <m:d>
          <m:dPr>
            <m:ctrlPr>
              <w:rPr>
                <w:rFonts w:ascii="Cambria Math" w:hAnsi="Cambria Math"/>
                <w:i/>
              </w:rPr>
            </m:ctrlPr>
          </m:dPr>
          <m:e>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r>
              <w:rPr>
                <w:rFonts w:ascii="Cambria Math" w:hAnsi="Cambria Math"/>
                <w:lang w:val="en-GB"/>
              </w:rPr>
              <m:t>+</m:t>
            </m:r>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e>
        </m:d>
        <m:r>
          <w:rPr>
            <w:rFonts w:ascii="Cambria Math" w:hAnsi="Cambria Math"/>
            <w:lang w:val="en-GB"/>
          </w:rPr>
          <m:t>×</m:t>
        </m:r>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before the start of the corresponding downlink frame </w:t>
      </w:r>
      <m:oMath>
        <m:r>
          <w:rPr>
            <w:rFonts w:ascii="Cambria Math" w:hAnsi="Cambria Math"/>
            <w:lang w:val="en-GB"/>
          </w:rPr>
          <m:t>i</m:t>
        </m:r>
      </m:oMath>
      <w:r>
        <w:rPr>
          <w:lang w:val="en-GB"/>
        </w:rPr>
        <w:t xml:space="preserve"> at the UE, where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oMath>
      <w:r>
        <w:t xml:space="preserve"> can be derived by the UE based on the </w:t>
      </w:r>
      <w:r>
        <w:rPr>
          <w:lang w:val="en-GB"/>
        </w:rPr>
        <w:t>index value</w:t>
      </w:r>
      <w:r>
        <w:t xml:space="preserve">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A</m:t>
            </m:r>
          </m:sub>
        </m:sSub>
      </m:oMath>
      <w:r>
        <w:rPr>
          <w:lang w:val="en-GB"/>
        </w:rPr>
        <w:t xml:space="preserve"> from gNB</w:t>
      </w:r>
      <w:r>
        <w:t xml:space="preserv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oMath>
      <w:r>
        <w:t xml:space="preserve"> </w:t>
      </w:r>
      <w:r>
        <w:rPr>
          <w:lang w:val="en-GB"/>
        </w:rPr>
        <w:t xml:space="preserve">depends on the duplex mode and frequency range in uplink transmission, and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w:t>
      </w:r>
      <w:r>
        <w:t>is the basic timing unit [2]</w:t>
      </w:r>
      <w:r>
        <w:rPr>
          <w:lang w:val="en-GB"/>
        </w:rPr>
        <w:t xml:space="preserve">[3][4]. </w:t>
      </w:r>
      <w:r>
        <w:rPr>
          <w:lang w:val="en-GB"/>
        </w:rPr>
        <w:tab/>
      </w:r>
    </w:p>
    <w:p w14:paraId="488F7818" w14:textId="77777777" w:rsidR="00C20AC5" w:rsidRDefault="00C20AC5" w:rsidP="00C20AC5">
      <w:pPr>
        <w:jc w:val="center"/>
        <w:rPr>
          <w:rFonts w:ascii="Times New Roman" w:hAnsi="Times New Roman" w:cs="Times New Roman"/>
          <w:lang w:val="en-GB"/>
        </w:rPr>
      </w:pPr>
      <w:r w:rsidRPr="00F463E3">
        <w:rPr>
          <w:rFonts w:ascii="Times New Roman" w:hAnsi="Times New Roman" w:cs="Times New Roman"/>
          <w:noProof/>
          <w:lang w:val="en-GB" w:eastAsia="en-GB"/>
        </w:rPr>
        <w:drawing>
          <wp:inline distT="0" distB="0" distL="0" distR="0" wp14:anchorId="79BFDDF9" wp14:editId="50B3820E">
            <wp:extent cx="4984108" cy="2804160"/>
            <wp:effectExtent l="0" t="0" r="7620" b="0"/>
            <wp:docPr id="1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05520" cy="2816207"/>
                    </a:xfrm>
                    <a:prstGeom prst="rect">
                      <a:avLst/>
                    </a:prstGeom>
                    <a:noFill/>
                    <a:ln>
                      <a:noFill/>
                    </a:ln>
                  </pic:spPr>
                </pic:pic>
              </a:graphicData>
            </a:graphic>
          </wp:inline>
        </w:drawing>
      </w:r>
    </w:p>
    <w:p w14:paraId="42FF1114" w14:textId="77777777" w:rsidR="00C20AC5" w:rsidRPr="0061787F" w:rsidRDefault="00C20AC5" w:rsidP="00C20AC5">
      <w:pPr>
        <w:pStyle w:val="TH"/>
      </w:pPr>
      <w:r w:rsidRPr="0061787F">
        <w:lastRenderedPageBreak/>
        <w:t xml:space="preserve">Figure 1: Time alignment at </w:t>
      </w:r>
      <w:proofErr w:type="spellStart"/>
      <w:r w:rsidRPr="0061787F">
        <w:t>gNB</w:t>
      </w:r>
      <w:proofErr w:type="spellEnd"/>
      <w:r w:rsidRPr="0061787F">
        <w:t xml:space="preserve"> with TA</w:t>
      </w:r>
    </w:p>
    <w:p w14:paraId="4E3EF65F" w14:textId="77777777" w:rsidR="00C20AC5" w:rsidRDefault="00C20AC5" w:rsidP="00C20AC5">
      <w:r>
        <w:t xml:space="preserve">A technical issue arises, when satellite links are included in the transmission chain. In this case, the strong delay variation caused by the moving satellite (e.g. in LEO, MEO orbits) is generating a fast change in the overall distance of the propagation from UE over sat to BS. Figure 3 shows exemplarily the variable one way delay over the link from hub station / BS over LEO satellite at an orbit speed of ~7500 m/s to mobile terminal with either pure UE functionality or Relay-to-Network type of UE. A high differential delay variation of up to 35 µs/s is experienced in this scenario, requiring a very fast update of the TA adjustment in the mobile terminal, thus creating a high load on the control plane. The table below shows up to 537 required TA steps per second per UE when using a SCS of 120 kHz. </w:t>
      </w:r>
    </w:p>
    <w:p w14:paraId="607E66A3" w14:textId="77777777" w:rsidR="00C20AC5" w:rsidRDefault="00C20AC5" w:rsidP="00C20AC5">
      <w:r>
        <w:t xml:space="preserve">In case of satellite, the high delay drift of individual non-GEO satellites is quite predictable because the motion of the satellites follow known paths. The very fast update of the TA neither required in terrestrial links, nor GEO satellite links. In both scenarios, the terminal mobility is dominating the TA requirements. </w:t>
      </w:r>
    </w:p>
    <w:p w14:paraId="6C346A08" w14:textId="77777777" w:rsidR="00C20AC5" w:rsidRDefault="00C20AC5" w:rsidP="00C20AC5">
      <w:r>
        <w:t>Another technical issue that arises is that the delay variation over the satellite link is much more than a TTI. E.g. if the subcarrier spacing (SCS) is increasing from 15 kHz to 60 kHz, the TTI goes down from 1 ms to 250 μs. The required TA adjustment range for satellite links (~3 ms in the example in Fig. 3) will become larger that the TTI with any SCS selection and the transmission timing of the UE has to be adjusted over the borders of individual TTIs.</w:t>
      </w:r>
    </w:p>
    <w:p w14:paraId="31D4A78C" w14:textId="77777777" w:rsidR="00C20AC5" w:rsidRDefault="00C20AC5" w:rsidP="00C20AC5"/>
    <w:p w14:paraId="462C7C67" w14:textId="77777777" w:rsidR="00C20AC5" w:rsidRDefault="00C20AC5" w:rsidP="00C20AC5"/>
    <w:p w14:paraId="33AD4D64" w14:textId="77777777" w:rsidR="00C20AC5" w:rsidRPr="0061787F" w:rsidRDefault="00C20AC5" w:rsidP="00C20AC5">
      <w:pPr>
        <w:pStyle w:val="TH"/>
      </w:pPr>
      <w:r w:rsidRPr="0061787F">
        <w:t>Table 1: TA granularity, and step size with SCS.</w:t>
      </w:r>
    </w:p>
    <w:tbl>
      <w:tblPr>
        <w:tblStyle w:val="Grilledutableau"/>
        <w:tblW w:w="0" w:type="auto"/>
        <w:jc w:val="center"/>
        <w:tblLook w:val="04A0" w:firstRow="1" w:lastRow="0" w:firstColumn="1" w:lastColumn="0" w:noHBand="0" w:noVBand="1"/>
      </w:tblPr>
      <w:tblGrid>
        <w:gridCol w:w="2865"/>
        <w:gridCol w:w="844"/>
        <w:gridCol w:w="1298"/>
        <w:gridCol w:w="1283"/>
        <w:gridCol w:w="889"/>
        <w:gridCol w:w="2397"/>
      </w:tblGrid>
      <w:tr w:rsidR="00C20AC5" w14:paraId="7E099CE5" w14:textId="77777777" w:rsidTr="006041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7EC43B" w14:textId="77777777" w:rsidR="00C20AC5" w:rsidRPr="0061787F" w:rsidRDefault="00C20AC5" w:rsidP="00604128">
            <w:pPr>
              <w:spacing w:after="0" w:line="240" w:lineRule="auto"/>
              <w:rPr>
                <w:b/>
              </w:rPr>
            </w:pPr>
            <w:r w:rsidRPr="0061787F">
              <w:rPr>
                <w:b/>
                <w:lang w:eastAsia="de-DE"/>
              </w:rPr>
              <w:t xml:space="preserve">Subcarrier spacing (SCS) configuration parameter, µ  </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AC92E" w14:textId="77777777" w:rsidR="00C20AC5" w:rsidRPr="0061787F" w:rsidRDefault="00C20AC5" w:rsidP="00604128">
            <w:pPr>
              <w:spacing w:after="0" w:line="240" w:lineRule="auto"/>
              <w:rPr>
                <w:b/>
              </w:rPr>
            </w:pPr>
            <w:r w:rsidRPr="0061787F">
              <w:rPr>
                <w:b/>
                <w:lang w:val="de-DE" w:eastAsia="de-DE"/>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49099" w14:textId="77777777" w:rsidR="00C20AC5" w:rsidRPr="0061787F" w:rsidRDefault="00C20AC5" w:rsidP="00604128">
            <w:pPr>
              <w:spacing w:after="0" w:line="240" w:lineRule="auto"/>
              <w:rPr>
                <w:b/>
              </w:rPr>
            </w:pPr>
            <w:r w:rsidRPr="0061787F">
              <w:rPr>
                <w:b/>
                <w:lang w:val="de-DE" w:eastAsia="de-DE"/>
              </w:rPr>
              <w:t>RB band-</w:t>
            </w:r>
            <w:proofErr w:type="spellStart"/>
            <w:r w:rsidRPr="0061787F">
              <w:rPr>
                <w:b/>
                <w:lang w:val="de-DE" w:eastAsia="de-DE"/>
              </w:rPr>
              <w:t>width</w:t>
            </w:r>
            <w:proofErr w:type="spellEnd"/>
            <w:r w:rsidRPr="0061787F">
              <w:rPr>
                <w:b/>
                <w:lang w:val="de-DE" w:eastAsia="de-DE"/>
              </w:rPr>
              <w:t xml:space="preserve">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C21D6" w14:textId="77777777" w:rsidR="00C20AC5" w:rsidRPr="0061787F" w:rsidRDefault="00C20AC5" w:rsidP="00604128">
            <w:pPr>
              <w:spacing w:after="0" w:line="240" w:lineRule="auto"/>
              <w:rPr>
                <w:b/>
              </w:rPr>
            </w:pPr>
            <w:r w:rsidRPr="0061787F">
              <w:rPr>
                <w:b/>
                <w:lang w:val="de-DE" w:eastAsia="de-DE"/>
              </w:rPr>
              <w:t xml:space="preserve">TA </w:t>
            </w:r>
            <w:proofErr w:type="spellStart"/>
            <w:r w:rsidRPr="0061787F">
              <w:rPr>
                <w:b/>
                <w:lang w:val="de-DE" w:eastAsia="de-DE"/>
              </w:rPr>
              <w:t>gran</w:t>
            </w:r>
            <w:r>
              <w:rPr>
                <w:b/>
                <w:lang w:val="de-DE" w:eastAsia="de-DE"/>
              </w:rPr>
              <w:t>-</w:t>
            </w:r>
            <w:r w:rsidRPr="0061787F">
              <w:rPr>
                <w:b/>
                <w:lang w:val="de-DE" w:eastAsia="de-DE"/>
              </w:rPr>
              <w:t>ularity</w:t>
            </w:r>
            <w:proofErr w:type="spellEnd"/>
            <w:r w:rsidRPr="0061787F">
              <w:rPr>
                <w:b/>
                <w:lang w:val="de-DE" w:eastAsia="de-DE"/>
              </w:rPr>
              <w:t xml:space="preserve"> [</w:t>
            </w:r>
            <w:proofErr w:type="spellStart"/>
            <w:r w:rsidRPr="0061787F">
              <w:rPr>
                <w:b/>
                <w:lang w:val="de-DE" w:eastAsia="de-DE"/>
              </w:rPr>
              <w:t>Ts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AE9EF" w14:textId="77777777" w:rsidR="00C20AC5" w:rsidRPr="0061787F" w:rsidRDefault="00C20AC5" w:rsidP="00604128">
            <w:pPr>
              <w:spacing w:after="0" w:line="240" w:lineRule="auto"/>
              <w:rPr>
                <w:b/>
              </w:rPr>
            </w:pPr>
            <w:proofErr w:type="spellStart"/>
            <w:r w:rsidRPr="0061787F">
              <w:rPr>
                <w:b/>
                <w:lang w:val="de-DE" w:eastAsia="de-DE"/>
              </w:rPr>
              <w:t>T</w:t>
            </w:r>
            <w:r w:rsidRPr="0061787F">
              <w:rPr>
                <w:b/>
                <w:vertAlign w:val="subscript"/>
                <w:lang w:val="de-DE" w:eastAsia="de-DE"/>
              </w:rPr>
              <w:t>step</w:t>
            </w:r>
            <w:proofErr w:type="spellEnd"/>
            <w:r w:rsidRPr="0061787F">
              <w:rPr>
                <w:b/>
                <w:lang w:val="de-DE" w:eastAsia="de-DE"/>
              </w:rPr>
              <w:t xml:space="preserve"> [</w:t>
            </w:r>
            <w:proofErr w:type="spellStart"/>
            <w:r w:rsidRPr="0061787F">
              <w:rPr>
                <w:b/>
                <w:lang w:val="de-DE" w:eastAsia="de-DE"/>
              </w:rPr>
              <w:t>ns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D2B78" w14:textId="77777777" w:rsidR="00C20AC5" w:rsidRPr="0061787F" w:rsidRDefault="00C20AC5" w:rsidP="00604128">
            <w:pPr>
              <w:spacing w:after="0" w:line="240" w:lineRule="auto"/>
              <w:rPr>
                <w:b/>
              </w:rPr>
            </w:pPr>
            <w:r w:rsidRPr="0061787F">
              <w:rPr>
                <w:b/>
                <w:lang w:eastAsia="de-DE"/>
              </w:rPr>
              <w:t xml:space="preserve">Required TA steps per UE/s </w:t>
            </w:r>
            <w:r>
              <w:rPr>
                <w:b/>
                <w:lang w:eastAsia="de-DE"/>
              </w:rPr>
              <w:t>@</w:t>
            </w:r>
            <w:r w:rsidRPr="0061787F">
              <w:rPr>
                <w:b/>
                <w:lang w:eastAsia="de-DE"/>
              </w:rPr>
              <w:t xml:space="preserve"> drift of 35 us/s</w:t>
            </w:r>
          </w:p>
        </w:tc>
      </w:tr>
      <w:tr w:rsidR="00C20AC5" w14:paraId="517E7063" w14:textId="77777777" w:rsidTr="006041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4E92A" w14:textId="77777777" w:rsidR="00C20AC5" w:rsidRDefault="00C20AC5" w:rsidP="00604128">
            <w:pPr>
              <w:spacing w:after="0" w:line="240" w:lineRule="auto"/>
            </w:pPr>
            <w:r>
              <w:rPr>
                <w:lang w:val="de-DE" w:eastAsia="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1C05B" w14:textId="77777777" w:rsidR="00C20AC5" w:rsidRDefault="00C20AC5" w:rsidP="00604128">
            <w:pPr>
              <w:spacing w:after="0" w:line="240" w:lineRule="auto"/>
            </w:pPr>
            <w:r>
              <w:rPr>
                <w:lang w:val="de-DE" w:eastAsia="de-DE"/>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D4392" w14:textId="77777777" w:rsidR="00C20AC5" w:rsidRDefault="00C20AC5" w:rsidP="00604128">
            <w:pPr>
              <w:spacing w:after="0" w:line="240" w:lineRule="auto"/>
            </w:pPr>
            <w:r>
              <w:rPr>
                <w:lang w:val="de-DE" w:eastAsia="de-DE"/>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5E9B7" w14:textId="77777777" w:rsidR="00C20AC5" w:rsidRDefault="00C20AC5" w:rsidP="00604128">
            <w:pPr>
              <w:spacing w:after="0" w:line="240" w:lineRule="auto"/>
            </w:pPr>
            <w:r>
              <w:rPr>
                <w:lang w:val="de-DE" w:eastAsia="de-DE"/>
              </w:rP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3FBBA" w14:textId="77777777" w:rsidR="00C20AC5" w:rsidRDefault="00C20AC5" w:rsidP="00604128">
            <w:pPr>
              <w:spacing w:after="0" w:line="240" w:lineRule="auto"/>
            </w:pPr>
            <w:r>
              <w:rPr>
                <w:i/>
                <w:iCs/>
                <w:lang w:val="de-DE" w:eastAsia="de-DE"/>
              </w:rPr>
              <w:t>520.83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CFE24" w14:textId="77777777" w:rsidR="00C20AC5" w:rsidRDefault="00C20AC5" w:rsidP="00604128">
            <w:pPr>
              <w:spacing w:after="0" w:line="240" w:lineRule="auto"/>
              <w:rPr>
                <w:i/>
                <w:iCs/>
                <w:lang w:val="de-DE" w:eastAsia="de-DE"/>
              </w:rPr>
            </w:pPr>
            <w:r>
              <w:rPr>
                <w:i/>
                <w:iCs/>
                <w:lang w:val="de-DE" w:eastAsia="de-DE"/>
              </w:rPr>
              <w:t>67.2</w:t>
            </w:r>
          </w:p>
        </w:tc>
      </w:tr>
      <w:tr w:rsidR="00C20AC5" w14:paraId="5FFBAC53" w14:textId="77777777" w:rsidTr="006041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AA607A" w14:textId="77777777" w:rsidR="00C20AC5" w:rsidRDefault="00C20AC5" w:rsidP="00604128">
            <w:pPr>
              <w:spacing w:after="0" w:line="240" w:lineRule="auto"/>
            </w:pPr>
            <w:r>
              <w:rPr>
                <w:lang w:val="de-DE" w:eastAsia="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41257" w14:textId="77777777" w:rsidR="00C20AC5" w:rsidRDefault="00C20AC5" w:rsidP="00604128">
            <w:pPr>
              <w:spacing w:after="0" w:line="240" w:lineRule="auto"/>
            </w:pPr>
            <w:r>
              <w:rPr>
                <w:lang w:val="de-DE" w:eastAsia="de-DE"/>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094B5" w14:textId="77777777" w:rsidR="00C20AC5" w:rsidRDefault="00C20AC5" w:rsidP="00604128">
            <w:pPr>
              <w:spacing w:after="0" w:line="240" w:lineRule="auto"/>
            </w:pPr>
            <w:r>
              <w:rPr>
                <w:lang w:val="de-DE" w:eastAsia="de-DE"/>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5BC66" w14:textId="77777777" w:rsidR="00C20AC5" w:rsidRDefault="00C20AC5" w:rsidP="00604128">
            <w:pPr>
              <w:spacing w:after="0" w:line="240" w:lineRule="auto"/>
            </w:pPr>
            <w:r>
              <w:rPr>
                <w:lang w:val="de-DE" w:eastAsia="de-DE"/>
              </w:rP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943F6" w14:textId="77777777" w:rsidR="00C20AC5" w:rsidRDefault="00C20AC5" w:rsidP="00604128">
            <w:pPr>
              <w:spacing w:after="0" w:line="240" w:lineRule="auto"/>
            </w:pPr>
            <w:r>
              <w:rPr>
                <w:i/>
                <w:iCs/>
                <w:lang w:val="de-DE" w:eastAsia="de-DE"/>
              </w:rPr>
              <w:t>260.42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102F7" w14:textId="77777777" w:rsidR="00C20AC5" w:rsidRDefault="00C20AC5" w:rsidP="00604128">
            <w:pPr>
              <w:spacing w:after="0" w:line="240" w:lineRule="auto"/>
              <w:rPr>
                <w:i/>
                <w:iCs/>
                <w:lang w:val="de-DE" w:eastAsia="de-DE"/>
              </w:rPr>
            </w:pPr>
            <w:r>
              <w:rPr>
                <w:i/>
                <w:iCs/>
                <w:lang w:val="de-DE" w:eastAsia="de-DE"/>
              </w:rPr>
              <w:t>134.4</w:t>
            </w:r>
          </w:p>
        </w:tc>
      </w:tr>
      <w:tr w:rsidR="00C20AC5" w14:paraId="404FC615" w14:textId="77777777" w:rsidTr="006041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0EC9E3" w14:textId="77777777" w:rsidR="00C20AC5" w:rsidRDefault="00C20AC5" w:rsidP="00604128">
            <w:pPr>
              <w:spacing w:after="0" w:line="240" w:lineRule="auto"/>
            </w:pPr>
            <w:r>
              <w:rPr>
                <w:lang w:val="de-DE" w:eastAsia="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3EC39" w14:textId="77777777" w:rsidR="00C20AC5" w:rsidRDefault="00C20AC5" w:rsidP="00604128">
            <w:pPr>
              <w:spacing w:after="0" w:line="240" w:lineRule="auto"/>
            </w:pPr>
            <w:r>
              <w:rPr>
                <w:lang w:val="de-DE" w:eastAsia="de-DE"/>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A099F" w14:textId="77777777" w:rsidR="00C20AC5" w:rsidRDefault="00C20AC5" w:rsidP="00604128">
            <w:pPr>
              <w:spacing w:after="0" w:line="240" w:lineRule="auto"/>
            </w:pPr>
            <w:r>
              <w:rPr>
                <w:lang w:val="de-DE" w:eastAsia="de-DE"/>
              </w:rPr>
              <w:t>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FD41B" w14:textId="77777777" w:rsidR="00C20AC5" w:rsidRDefault="00C20AC5" w:rsidP="00604128">
            <w:pPr>
              <w:spacing w:after="0" w:line="240" w:lineRule="auto"/>
            </w:pPr>
            <w:r>
              <w:rPr>
                <w:lang w:val="de-DE" w:eastAsia="de-DE"/>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E440" w14:textId="77777777" w:rsidR="00C20AC5" w:rsidRDefault="00C20AC5" w:rsidP="00604128">
            <w:pPr>
              <w:spacing w:after="0" w:line="240" w:lineRule="auto"/>
            </w:pPr>
            <w:r>
              <w:rPr>
                <w:i/>
                <w:iCs/>
                <w:lang w:val="de-DE" w:eastAsia="de-DE"/>
              </w:rPr>
              <w:t>130.21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9604A" w14:textId="77777777" w:rsidR="00C20AC5" w:rsidRDefault="00C20AC5" w:rsidP="00604128">
            <w:pPr>
              <w:spacing w:after="0" w:line="240" w:lineRule="auto"/>
              <w:rPr>
                <w:i/>
                <w:iCs/>
                <w:lang w:val="de-DE" w:eastAsia="de-DE"/>
              </w:rPr>
            </w:pPr>
            <w:r>
              <w:rPr>
                <w:i/>
                <w:iCs/>
                <w:lang w:val="de-DE" w:eastAsia="de-DE"/>
              </w:rPr>
              <w:t>268.8</w:t>
            </w:r>
          </w:p>
        </w:tc>
      </w:tr>
      <w:tr w:rsidR="00C20AC5" w14:paraId="234C18E9" w14:textId="77777777" w:rsidTr="006041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6EED3E" w14:textId="77777777" w:rsidR="00C20AC5" w:rsidRDefault="00C20AC5" w:rsidP="00604128">
            <w:pPr>
              <w:spacing w:after="0" w:line="240" w:lineRule="auto"/>
            </w:pPr>
            <w:r>
              <w:rPr>
                <w:lang w:val="de-DE" w:eastAsia="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046A7" w14:textId="77777777" w:rsidR="00C20AC5" w:rsidRDefault="00C20AC5" w:rsidP="00604128">
            <w:pPr>
              <w:spacing w:after="0" w:line="240" w:lineRule="auto"/>
            </w:pPr>
            <w:r>
              <w:rPr>
                <w:lang w:val="de-DE" w:eastAsia="de-DE"/>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35A6B" w14:textId="77777777" w:rsidR="00C20AC5" w:rsidRDefault="00C20AC5" w:rsidP="00604128">
            <w:pPr>
              <w:spacing w:after="0" w:line="240" w:lineRule="auto"/>
            </w:pPr>
            <w:r>
              <w:rPr>
                <w:lang w:val="de-DE" w:eastAsia="de-DE"/>
              </w:rPr>
              <w:t>1440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0AE7C" w14:textId="77777777" w:rsidR="00C20AC5" w:rsidRDefault="00C20AC5" w:rsidP="00604128">
            <w:pPr>
              <w:spacing w:after="0" w:line="240" w:lineRule="auto"/>
            </w:pPr>
            <w:r>
              <w:rPr>
                <w:lang w:val="de-DE" w:eastAsia="de-DE"/>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2AF4D" w14:textId="77777777" w:rsidR="00C20AC5" w:rsidRDefault="00C20AC5" w:rsidP="00604128">
            <w:pPr>
              <w:spacing w:after="0" w:line="240" w:lineRule="auto"/>
            </w:pPr>
            <w:r>
              <w:rPr>
                <w:i/>
                <w:iCs/>
                <w:lang w:val="de-DE" w:eastAsia="de-DE"/>
              </w:rPr>
              <w:t>65.10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BF829" w14:textId="77777777" w:rsidR="00C20AC5" w:rsidRDefault="00C20AC5" w:rsidP="00604128">
            <w:pPr>
              <w:spacing w:after="0" w:line="240" w:lineRule="auto"/>
              <w:rPr>
                <w:i/>
                <w:iCs/>
                <w:lang w:val="de-DE" w:eastAsia="de-DE"/>
              </w:rPr>
            </w:pPr>
            <w:r>
              <w:rPr>
                <w:i/>
                <w:iCs/>
                <w:lang w:val="de-DE" w:eastAsia="de-DE"/>
              </w:rPr>
              <w:t>537.6</w:t>
            </w:r>
          </w:p>
        </w:tc>
      </w:tr>
      <w:tr w:rsidR="00C20AC5" w14:paraId="34F8A599" w14:textId="77777777" w:rsidTr="006041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45838" w14:textId="77777777" w:rsidR="00C20AC5" w:rsidRDefault="00C20AC5" w:rsidP="00604128">
            <w:pPr>
              <w:spacing w:after="0" w:line="240" w:lineRule="auto"/>
            </w:pPr>
            <w:r>
              <w:rPr>
                <w:lang w:val="de-DE" w:eastAsia="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93150" w14:textId="77777777" w:rsidR="00C20AC5" w:rsidRDefault="00C20AC5" w:rsidP="00604128">
            <w:pPr>
              <w:spacing w:after="0" w:line="240" w:lineRule="auto"/>
            </w:pPr>
            <w:r>
              <w:rPr>
                <w:lang w:val="de-DE" w:eastAsia="de-DE"/>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5A326" w14:textId="77777777" w:rsidR="00C20AC5" w:rsidRDefault="00C20AC5" w:rsidP="00604128">
            <w:pPr>
              <w:spacing w:after="0" w:line="240" w:lineRule="auto"/>
            </w:pPr>
            <w:r>
              <w:rPr>
                <w:lang w:val="de-DE" w:eastAsia="de-DE"/>
              </w:rPr>
              <w:t>2880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0E7E3" w14:textId="77777777" w:rsidR="00C20AC5" w:rsidRDefault="00C20AC5" w:rsidP="00604128">
            <w:pPr>
              <w:spacing w:after="0" w:line="240" w:lineRule="auto"/>
            </w:pPr>
            <w:r>
              <w:rPr>
                <w:lang w:val="de-DE" w:eastAsia="de-DE"/>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CA556" w14:textId="77777777" w:rsidR="00C20AC5" w:rsidRDefault="00C20AC5" w:rsidP="00604128">
            <w:pPr>
              <w:spacing w:after="0" w:line="240" w:lineRule="auto"/>
            </w:pPr>
            <w:r>
              <w:rPr>
                <w:i/>
                <w:iCs/>
                <w:lang w:val="de-DE" w:eastAsia="de-DE"/>
              </w:rPr>
              <w:t>32.55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FC517" w14:textId="77777777" w:rsidR="00C20AC5" w:rsidRDefault="00C20AC5" w:rsidP="00604128">
            <w:pPr>
              <w:spacing w:after="0" w:line="240" w:lineRule="auto"/>
              <w:rPr>
                <w:i/>
                <w:iCs/>
                <w:lang w:val="de-DE" w:eastAsia="de-DE"/>
              </w:rPr>
            </w:pPr>
            <w:r>
              <w:rPr>
                <w:i/>
                <w:iCs/>
                <w:lang w:val="de-DE" w:eastAsia="de-DE"/>
              </w:rPr>
              <w:t>1075.2</w:t>
            </w:r>
          </w:p>
        </w:tc>
      </w:tr>
    </w:tbl>
    <w:p w14:paraId="41F5B8CC" w14:textId="77777777" w:rsidR="00C20AC5" w:rsidRDefault="00C20AC5" w:rsidP="00C20AC5">
      <w:pPr>
        <w:keepNext/>
        <w:rPr>
          <w:rFonts w:ascii="Times New Roman" w:hAnsi="Times New Roman" w:cs="Times New Roman"/>
        </w:rPr>
      </w:pPr>
      <w:r>
        <w:rPr>
          <w:rFonts w:ascii="Times New Roman" w:hAnsi="Times New Roman" w:cs="Times New Roman"/>
        </w:rPr>
        <w:lastRenderedPageBreak/>
        <w:t xml:space="preserve">*Note: </w:t>
      </w:r>
      <w:r>
        <w:rPr>
          <w:color w:val="1F497D"/>
        </w:rPr>
        <w:t>depending on the TA size, the number of commands will be reduced.</w:t>
      </w:r>
    </w:p>
    <w:p w14:paraId="0ABF4F44" w14:textId="77777777" w:rsidR="00C20AC5" w:rsidRDefault="00C20AC5" w:rsidP="00C20AC5">
      <w:pPr>
        <w:keepNext/>
        <w:jc w:val="center"/>
        <w:rPr>
          <w:rFonts w:ascii="Times New Roman" w:hAnsi="Times New Roman" w:cs="Times New Roman"/>
        </w:rPr>
      </w:pPr>
      <w:r>
        <w:rPr>
          <w:rFonts w:ascii="Times New Roman" w:hAnsi="Times New Roman" w:cs="Times New Roman"/>
          <w:noProof/>
          <w:lang w:val="en-GB" w:eastAsia="en-GB"/>
        </w:rPr>
        <w:drawing>
          <wp:inline distT="0" distB="0" distL="0" distR="0" wp14:anchorId="119142CF" wp14:editId="0CBCAC03">
            <wp:extent cx="4272032" cy="44577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80108" cy="4466127"/>
                    </a:xfrm>
                    <a:prstGeom prst="rect">
                      <a:avLst/>
                    </a:prstGeom>
                    <a:noFill/>
                    <a:ln>
                      <a:noFill/>
                    </a:ln>
                  </pic:spPr>
                </pic:pic>
              </a:graphicData>
            </a:graphic>
          </wp:inline>
        </w:drawing>
      </w:r>
    </w:p>
    <w:p w14:paraId="68509F6B" w14:textId="77777777" w:rsidR="00C20AC5" w:rsidRPr="003E0439" w:rsidRDefault="00C20AC5" w:rsidP="00C20AC5">
      <w:pPr>
        <w:pStyle w:val="TH"/>
      </w:pPr>
      <w:r w:rsidRPr="003E0439">
        <w:t>Figure 3: Exemplary delay variation over satellite Link in LEO constellation</w:t>
      </w:r>
    </w:p>
    <w:p w14:paraId="7800C327" w14:textId="3FCBAC69" w:rsidR="00C20AC5" w:rsidRPr="00456816" w:rsidRDefault="00C20AC5" w:rsidP="00C20AC5">
      <w:pPr>
        <w:pStyle w:val="Titre5"/>
      </w:pPr>
      <w:r>
        <w:t>2.4.1</w:t>
      </w:r>
      <w:r w:rsidRPr="00456816">
        <w:t>.3 NR impacts conclusions</w:t>
      </w:r>
    </w:p>
    <w:p w14:paraId="504BB5F7" w14:textId="77777777" w:rsidR="00C20AC5" w:rsidRDefault="00C20AC5" w:rsidP="00C20AC5">
      <w:r>
        <w:t xml:space="preserve">A strong delay variation is caused by moving satellites (e.g. in LEO and MEO orbits) generating a fast change in the overall distance of the radio link between UE and BS via Satellite. The delay is much higher and variable over a satellite radio link than over a terrestrial radio link. This delay largely exceeds the TTI (Equivalent to one frame) of NR which is equal to or less than 1 ms. However, the delay variation is quite predictable knowing the satellite orbits and UE position. </w:t>
      </w:r>
    </w:p>
    <w:p w14:paraId="039095E2" w14:textId="77777777" w:rsidR="00C20AC5" w:rsidRDefault="00C20AC5" w:rsidP="00C20AC5">
      <w:r>
        <w:t xml:space="preserve">Hence, Timing Advance (TA) alignment is an important feature of NR that will be impacted by introduction of NTN in 5G to ensure that all uplink transmissions are synchronized at gNB reception point. Especially for non-GEO satellites, the overhead created by the TA procedure is expected to be significant, unless countermeasures are introduced. Solutions towards aligning uplink signals over satellite links to overcome the predictable delay in NTN need to be investigated in future. Future analysis shall estimate the TA update rate. </w:t>
      </w:r>
    </w:p>
    <w:p w14:paraId="5CD2A7B6" w14:textId="77777777" w:rsidR="00C20AC5" w:rsidRDefault="00C20AC5" w:rsidP="00C20AC5">
      <w:pPr>
        <w:rPr>
          <w:lang w:eastAsia="sv-SE"/>
        </w:rPr>
      </w:pPr>
      <w:r>
        <w:rPr>
          <w:lang w:eastAsia="sv-SE"/>
        </w:rPr>
        <w:t xml:space="preserve">Therefore, NR impacts for TA adjustments are possibly:-Fast and or larger time step timing advance updating mechanism is necessary at the UE side particularly in the case of non-geostationary satellites. </w:t>
      </w:r>
    </w:p>
    <w:p w14:paraId="1878DC31" w14:textId="7B11A84B" w:rsidR="00C20AC5" w:rsidRPr="00456816" w:rsidRDefault="00C20AC5" w:rsidP="00C20AC5">
      <w:pPr>
        <w:spacing w:after="200" w:line="276" w:lineRule="auto"/>
        <w:jc w:val="both"/>
        <w:rPr>
          <w:rFonts w:ascii="Arial" w:eastAsia="Times New Roman" w:hAnsi="Arial" w:cs="Arial"/>
          <w:sz w:val="24"/>
          <w:szCs w:val="24"/>
          <w:highlight w:val="yellow"/>
          <w:lang w:val="en-GB" w:eastAsia="zh-CN"/>
        </w:rPr>
      </w:pPr>
      <w:r>
        <w:lastRenderedPageBreak/>
        <w:t>2.4.1</w:t>
      </w:r>
      <w:r w:rsidRPr="00456816">
        <w:rPr>
          <w:rFonts w:ascii="Arial" w:eastAsia="Times New Roman" w:hAnsi="Arial" w:cs="Arial"/>
          <w:sz w:val="24"/>
          <w:szCs w:val="24"/>
          <w:highlight w:val="yellow"/>
          <w:lang w:val="en-GB" w:eastAsia="zh-CN"/>
        </w:rPr>
        <w:t>.4 References</w:t>
      </w:r>
    </w:p>
    <w:p w14:paraId="6FA40CEE" w14:textId="77777777" w:rsidR="00C20AC5" w:rsidRPr="00456816" w:rsidRDefault="00C20AC5" w:rsidP="00C20AC5">
      <w:pPr>
        <w:rPr>
          <w:highlight w:val="yellow"/>
        </w:rPr>
      </w:pPr>
      <w:r w:rsidRPr="00456816">
        <w:rPr>
          <w:highlight w:val="yellow"/>
        </w:rPr>
        <w:t>[1]</w:t>
      </w:r>
      <w:r w:rsidRPr="00456816">
        <w:rPr>
          <w:highlight w:val="yellow"/>
        </w:rPr>
        <w:tab/>
        <w:t xml:space="preserve">RP-171450, “Study on NR to support Non-Terrestrial Networks”, Thales, Dish network, 3GPP RAN#76, West Palm Beach, USA, 5th – 9th June 2017. </w:t>
      </w:r>
    </w:p>
    <w:p w14:paraId="0390EB18" w14:textId="77777777" w:rsidR="00C20AC5" w:rsidRPr="00456816" w:rsidRDefault="00C20AC5" w:rsidP="00C20AC5">
      <w:pPr>
        <w:rPr>
          <w:highlight w:val="yellow"/>
        </w:rPr>
      </w:pPr>
      <w:r w:rsidRPr="00456816">
        <w:rPr>
          <w:highlight w:val="yellow"/>
        </w:rPr>
        <w:t>[2]</w:t>
      </w:r>
      <w:r w:rsidRPr="00456816">
        <w:rPr>
          <w:highlight w:val="yellow"/>
        </w:rPr>
        <w:tab/>
        <w:t>TS 38.211, “NR; Physical channels and modulation”, 3GPP.</w:t>
      </w:r>
    </w:p>
    <w:p w14:paraId="6997A918" w14:textId="77777777" w:rsidR="00C20AC5" w:rsidRPr="00456816" w:rsidRDefault="00C20AC5" w:rsidP="00C20AC5">
      <w:pPr>
        <w:rPr>
          <w:highlight w:val="yellow"/>
        </w:rPr>
      </w:pPr>
      <w:r w:rsidRPr="00456816">
        <w:rPr>
          <w:highlight w:val="yellow"/>
        </w:rPr>
        <w:t>[3]</w:t>
      </w:r>
      <w:r w:rsidRPr="00456816">
        <w:rPr>
          <w:highlight w:val="yellow"/>
        </w:rPr>
        <w:tab/>
        <w:t>TS 38.133, “NR; Requirements for support of radio resource management”, 3GPP.</w:t>
      </w:r>
    </w:p>
    <w:p w14:paraId="7A3EF274" w14:textId="77777777" w:rsidR="00C20AC5" w:rsidRPr="00456816" w:rsidRDefault="00C20AC5" w:rsidP="00C20AC5">
      <w:pPr>
        <w:rPr>
          <w:highlight w:val="yellow"/>
        </w:rPr>
      </w:pPr>
      <w:r w:rsidRPr="00456816">
        <w:rPr>
          <w:highlight w:val="yellow"/>
        </w:rPr>
        <w:t>[4]</w:t>
      </w:r>
      <w:r w:rsidRPr="00456816">
        <w:rPr>
          <w:highlight w:val="yellow"/>
        </w:rPr>
        <w:tab/>
        <w:t>TS 38.213, “NR; Physical layer procedures for control”, v15.1.0, 3GPP.</w:t>
      </w:r>
    </w:p>
    <w:p w14:paraId="5BE84C31" w14:textId="77777777" w:rsidR="00C20AC5" w:rsidRPr="00456816" w:rsidRDefault="00C20AC5" w:rsidP="00C20AC5">
      <w:pPr>
        <w:rPr>
          <w:highlight w:val="yellow"/>
        </w:rPr>
      </w:pPr>
      <w:r w:rsidRPr="00456816">
        <w:rPr>
          <w:highlight w:val="yellow"/>
        </w:rPr>
        <w:t>[5]</w:t>
      </w:r>
      <w:r w:rsidRPr="00456816">
        <w:rPr>
          <w:highlight w:val="yellow"/>
        </w:rPr>
        <w:tab/>
        <w:t>TR 38.811, “Study on New Radio (NR) to support non terrestrial networks”, 3GPP.</w:t>
      </w:r>
    </w:p>
    <w:p w14:paraId="58BF34AB" w14:textId="77777777" w:rsidR="009D59EB" w:rsidRDefault="009D59EB" w:rsidP="009D59EB"/>
    <w:p w14:paraId="3A5456FE" w14:textId="77777777" w:rsidR="009D59EB" w:rsidRDefault="009D59EB" w:rsidP="009D59EB"/>
    <w:p w14:paraId="6644AAA0" w14:textId="77777777" w:rsidR="009D59EB" w:rsidRPr="00443782" w:rsidRDefault="009D59EB" w:rsidP="00443782"/>
    <w:p w14:paraId="608E9AAC" w14:textId="77777777" w:rsidR="00A43AF1" w:rsidRDefault="00A43AF1" w:rsidP="00683D8D">
      <w:pPr>
        <w:pStyle w:val="Titre2"/>
        <w:pBdr>
          <w:top w:val="none" w:sz="0" w:space="0" w:color="auto"/>
        </w:pBdr>
        <w:overflowPunct w:val="0"/>
        <w:autoSpaceDE w:val="0"/>
        <w:autoSpaceDN w:val="0"/>
        <w:adjustRightInd w:val="0"/>
        <w:rPr>
          <w:rFonts w:eastAsia="SimSun" w:cs="Times New Roman"/>
          <w:color w:val="auto"/>
          <w:szCs w:val="20"/>
          <w:lang w:eastAsia="en-US"/>
        </w:rPr>
      </w:pPr>
    </w:p>
    <w:p w14:paraId="38E1F1EB" w14:textId="59D0A581" w:rsidR="00683D8D" w:rsidRPr="00874A76" w:rsidRDefault="00A43AF1" w:rsidP="00683D8D">
      <w:pPr>
        <w:pStyle w:val="Titre2"/>
        <w:pBdr>
          <w:top w:val="none" w:sz="0" w:space="0" w:color="auto"/>
        </w:pBdr>
        <w:overflowPunct w:val="0"/>
        <w:autoSpaceDE w:val="0"/>
        <w:autoSpaceDN w:val="0"/>
        <w:adjustRightInd w:val="0"/>
        <w:rPr>
          <w:rFonts w:eastAsia="SimSun" w:cs="Times New Roman"/>
          <w:color w:val="auto"/>
          <w:szCs w:val="20"/>
          <w:lang w:eastAsia="en-US"/>
        </w:rPr>
      </w:pPr>
      <w:r>
        <w:rPr>
          <w:rFonts w:eastAsia="SimSun" w:cs="Times New Roman"/>
          <w:color w:val="auto"/>
          <w:szCs w:val="20"/>
          <w:lang w:eastAsia="en-US"/>
        </w:rPr>
        <w:t xml:space="preserve">2.5 </w:t>
      </w:r>
      <w:r w:rsidR="00683D8D" w:rsidRPr="00874A76">
        <w:rPr>
          <w:rFonts w:eastAsia="SimSun" w:cs="Times New Roman"/>
          <w:color w:val="auto"/>
          <w:szCs w:val="20"/>
          <w:lang w:eastAsia="en-US"/>
        </w:rPr>
        <w:t>TA in Random access response message</w:t>
      </w:r>
    </w:p>
    <w:p w14:paraId="0EE450E2" w14:textId="77777777" w:rsidR="00426BC6" w:rsidRPr="00C758CF" w:rsidRDefault="00426BC6" w:rsidP="00C758CF">
      <w:pPr>
        <w:jc w:val="both"/>
      </w:pPr>
    </w:p>
    <w:p w14:paraId="67FFB295" w14:textId="77777777" w:rsidR="00426BC6" w:rsidRDefault="00426BC6" w:rsidP="00C758CF">
      <w:pPr>
        <w:jc w:val="both"/>
      </w:pPr>
    </w:p>
    <w:p w14:paraId="75614C3B" w14:textId="77777777" w:rsidR="00683D8D" w:rsidRDefault="00683D8D" w:rsidP="00C758CF">
      <w:pPr>
        <w:jc w:val="both"/>
      </w:pPr>
    </w:p>
    <w:p w14:paraId="30B67908" w14:textId="544A2321" w:rsidR="00683D8D" w:rsidRPr="00C758CF" w:rsidRDefault="00A43AF1" w:rsidP="00C758CF">
      <w:pPr>
        <w:pStyle w:val="Titre2"/>
        <w:pBdr>
          <w:top w:val="none" w:sz="0" w:space="0" w:color="auto"/>
        </w:pBdr>
        <w:overflowPunct w:val="0"/>
        <w:autoSpaceDE w:val="0"/>
        <w:autoSpaceDN w:val="0"/>
        <w:adjustRightInd w:val="0"/>
        <w:rPr>
          <w:rFonts w:eastAsia="SimSun" w:cs="Times New Roman"/>
          <w:color w:val="auto"/>
          <w:szCs w:val="20"/>
          <w:lang w:eastAsia="en-US"/>
        </w:rPr>
      </w:pPr>
      <w:r>
        <w:rPr>
          <w:rFonts w:eastAsia="SimSun" w:cs="Times New Roman"/>
          <w:color w:val="auto"/>
          <w:szCs w:val="20"/>
          <w:lang w:eastAsia="en-US"/>
        </w:rPr>
        <w:t>2.6</w:t>
      </w:r>
      <w:r w:rsidR="00683D8D">
        <w:rPr>
          <w:rFonts w:eastAsia="SimSun" w:cs="Times New Roman"/>
          <w:color w:val="auto"/>
          <w:szCs w:val="20"/>
          <w:lang w:eastAsia="en-US"/>
        </w:rPr>
        <w:t xml:space="preserve"> </w:t>
      </w:r>
      <w:r w:rsidR="00683D8D" w:rsidRPr="00C758CF">
        <w:rPr>
          <w:rFonts w:eastAsia="SimSun" w:cs="Times New Roman"/>
          <w:color w:val="auto"/>
          <w:szCs w:val="20"/>
          <w:lang w:eastAsia="en-US"/>
        </w:rPr>
        <w:t>Control loops (MAC/RLC and higher)</w:t>
      </w:r>
    </w:p>
    <w:p w14:paraId="5772FF14" w14:textId="77777777" w:rsidR="00426BC6" w:rsidRPr="00C758CF" w:rsidRDefault="00426BC6" w:rsidP="00C758CF">
      <w:pPr>
        <w:jc w:val="both"/>
      </w:pPr>
    </w:p>
    <w:p w14:paraId="71B09341" w14:textId="77777777" w:rsidR="00426BC6" w:rsidRDefault="00426BC6" w:rsidP="00C758CF">
      <w:pPr>
        <w:jc w:val="both"/>
      </w:pPr>
    </w:p>
    <w:p w14:paraId="5F51469C" w14:textId="77777777" w:rsidR="00683D8D" w:rsidRDefault="00683D8D" w:rsidP="00C758CF">
      <w:pPr>
        <w:jc w:val="both"/>
      </w:pPr>
    </w:p>
    <w:p w14:paraId="4C0EAAE8" w14:textId="77777777" w:rsidR="00683D8D" w:rsidRDefault="00683D8D" w:rsidP="00C758CF">
      <w:pPr>
        <w:jc w:val="both"/>
      </w:pPr>
    </w:p>
    <w:p w14:paraId="69BF771F" w14:textId="77777777" w:rsidR="00683D8D" w:rsidRPr="00C758CF" w:rsidRDefault="00683D8D" w:rsidP="00C758CF">
      <w:pPr>
        <w:jc w:val="both"/>
      </w:pPr>
    </w:p>
    <w:p w14:paraId="1E0E2185" w14:textId="77777777" w:rsidR="00426BC6" w:rsidRPr="004F61A3" w:rsidRDefault="00426BC6" w:rsidP="00A15965">
      <w:pPr>
        <w:tabs>
          <w:tab w:val="left" w:pos="1985"/>
        </w:tabs>
        <w:overflowPunct w:val="0"/>
        <w:autoSpaceDE w:val="0"/>
        <w:autoSpaceDN w:val="0"/>
        <w:adjustRightInd w:val="0"/>
        <w:spacing w:after="120"/>
        <w:jc w:val="center"/>
        <w:textAlignment w:val="baseline"/>
        <w:rPr>
          <w:rFonts w:cs="Times New Roman"/>
          <w:lang w:eastAsia="zh-CN"/>
        </w:rPr>
      </w:pPr>
    </w:p>
    <w:p w14:paraId="7DF3C437" w14:textId="77777777" w:rsidR="00A15965" w:rsidRPr="004B1881" w:rsidRDefault="00A15965" w:rsidP="00A15965">
      <w:pPr>
        <w:pStyle w:val="Titre1"/>
        <w:numPr>
          <w:ilvl w:val="0"/>
          <w:numId w:val="2"/>
        </w:numPr>
        <w:textAlignment w:val="auto"/>
        <w:rPr>
          <w:lang w:val="en-US"/>
        </w:rPr>
      </w:pPr>
      <w:r w:rsidRPr="004B1881">
        <w:rPr>
          <w:lang w:val="en-US"/>
        </w:rPr>
        <w:lastRenderedPageBreak/>
        <w:t>Reference</w:t>
      </w:r>
    </w:p>
    <w:p w14:paraId="0BBB6872" w14:textId="77777777" w:rsidR="00A15965" w:rsidRDefault="00A15965" w:rsidP="00A15965">
      <w:pPr>
        <w:pStyle w:val="Reference"/>
        <w:keepNext/>
        <w:widowControl w:val="0"/>
        <w:suppressAutoHyphens/>
        <w:overflowPunct/>
        <w:autoSpaceDE/>
        <w:autoSpaceDN/>
        <w:adjustRightInd/>
        <w:textAlignment w:val="auto"/>
        <w:outlineLvl w:val="0"/>
      </w:pPr>
      <w:r>
        <w:t xml:space="preserve">[a] </w:t>
      </w:r>
      <w:r w:rsidRPr="005B377F">
        <w:t xml:space="preserve">R1-1802632, “Considerations on random access for non-terrestrial networks”, </w:t>
      </w:r>
      <w:proofErr w:type="spellStart"/>
      <w:r w:rsidRPr="005B377F">
        <w:t>Interdigital</w:t>
      </w:r>
      <w:proofErr w:type="spellEnd"/>
      <w:r w:rsidRPr="005B377F">
        <w:t xml:space="preserve"> Inc.</w:t>
      </w:r>
      <w:r w:rsidRPr="00395F1F">
        <w:t>,</w:t>
      </w:r>
      <w:r>
        <w:t xml:space="preserve"> </w:t>
      </w:r>
      <w:r w:rsidRPr="00395F1F">
        <w:t xml:space="preserve">3GPP TSG RAN WG1 Meeting #93, </w:t>
      </w:r>
      <w:proofErr w:type="spellStart"/>
      <w:r w:rsidRPr="00395F1F">
        <w:t>Busan</w:t>
      </w:r>
      <w:proofErr w:type="spellEnd"/>
      <w:r w:rsidRPr="00395F1F">
        <w:t>, Korea, May 21st – 25th, 2018</w:t>
      </w:r>
      <w:r>
        <w:t>.</w:t>
      </w:r>
    </w:p>
    <w:p w14:paraId="2FA297A2" w14:textId="77777777" w:rsidR="00A15965" w:rsidRDefault="00A15965" w:rsidP="00A15965">
      <w:pPr>
        <w:pStyle w:val="Reference"/>
        <w:keepNext/>
        <w:widowControl w:val="0"/>
        <w:suppressAutoHyphens/>
        <w:overflowPunct/>
        <w:autoSpaceDE/>
        <w:autoSpaceDN/>
        <w:adjustRightInd/>
        <w:textAlignment w:val="auto"/>
        <w:outlineLvl w:val="0"/>
      </w:pPr>
      <w:r>
        <w:t>[b] R1-1804236, “Discussion on the NR impacts on random access for NTN”, ZTE</w:t>
      </w:r>
      <w:r w:rsidRPr="00395F1F">
        <w:t>,</w:t>
      </w:r>
      <w:r>
        <w:t xml:space="preserve"> </w:t>
      </w:r>
      <w:r w:rsidRPr="00395F1F">
        <w:t xml:space="preserve">3GPP TSG RAN WG1 Meeting #93, </w:t>
      </w:r>
      <w:proofErr w:type="spellStart"/>
      <w:r w:rsidRPr="00395F1F">
        <w:t>Busan</w:t>
      </w:r>
      <w:proofErr w:type="spellEnd"/>
      <w:r w:rsidRPr="00395F1F">
        <w:t>, Korea, May 21st – 25th, 2018</w:t>
      </w:r>
      <w:r>
        <w:t>.</w:t>
      </w:r>
    </w:p>
    <w:p w14:paraId="0BA000DD" w14:textId="77777777" w:rsidR="00A15965" w:rsidRPr="00395F1F" w:rsidRDefault="00A15965" w:rsidP="00A15965">
      <w:pPr>
        <w:pStyle w:val="Reference"/>
        <w:keepNext/>
        <w:widowControl w:val="0"/>
        <w:suppressAutoHyphens/>
        <w:overflowPunct/>
        <w:autoSpaceDE/>
        <w:autoSpaceDN/>
        <w:adjustRightInd/>
        <w:textAlignment w:val="auto"/>
        <w:outlineLvl w:val="0"/>
      </w:pPr>
      <w:r>
        <w:t xml:space="preserve">[c] </w:t>
      </w:r>
      <w:r w:rsidRPr="00934DB4">
        <w:t>R1-1804822, “</w:t>
      </w:r>
      <w:r>
        <w:t>On NTN initial a</w:t>
      </w:r>
      <w:r w:rsidRPr="00934DB4">
        <w:t xml:space="preserve">ccess”, Qualcomm Incorporated, </w:t>
      </w:r>
      <w:r>
        <w:t>3GPP TSG RAN WG1 Meeting #92bis</w:t>
      </w:r>
      <w:r w:rsidRPr="00395F1F">
        <w:t xml:space="preserve">, </w:t>
      </w:r>
      <w:proofErr w:type="spellStart"/>
      <w:r w:rsidRPr="00934DB4">
        <w:t>Sanya</w:t>
      </w:r>
      <w:proofErr w:type="spellEnd"/>
      <w:r w:rsidRPr="00934DB4">
        <w:t>, China, April 16th – 20th, 2018</w:t>
      </w:r>
      <w:r>
        <w:t>.</w:t>
      </w:r>
    </w:p>
    <w:p w14:paraId="144DDE0D" w14:textId="77777777" w:rsidR="00A15965" w:rsidRDefault="00A15965" w:rsidP="00A15965">
      <w:pPr>
        <w:pStyle w:val="Reference"/>
        <w:keepNext/>
        <w:widowControl w:val="0"/>
        <w:suppressAutoHyphens/>
        <w:overflowPunct/>
        <w:autoSpaceDE/>
        <w:autoSpaceDN/>
        <w:adjustRightInd/>
        <w:textAlignment w:val="auto"/>
        <w:outlineLvl w:val="0"/>
      </w:pPr>
      <w:r>
        <w:t xml:space="preserve">[d] </w:t>
      </w:r>
      <w:r w:rsidRPr="004B4FC9">
        <w:t>R1-1806156, “TP for TR38.811 on random access for NTN”, ZTE, CATR</w:t>
      </w:r>
      <w:r w:rsidRPr="00395F1F">
        <w:t>,</w:t>
      </w:r>
      <w:r>
        <w:t xml:space="preserve"> </w:t>
      </w:r>
      <w:r w:rsidRPr="00395F1F">
        <w:t xml:space="preserve">3GPP TSG RAN WG1 Meeting #93, </w:t>
      </w:r>
      <w:proofErr w:type="spellStart"/>
      <w:r w:rsidRPr="00395F1F">
        <w:t>Busan</w:t>
      </w:r>
      <w:proofErr w:type="spellEnd"/>
      <w:r w:rsidRPr="00395F1F">
        <w:t>, Korea, May 21st – 25th, 2018</w:t>
      </w:r>
      <w:r>
        <w:t>.</w:t>
      </w:r>
    </w:p>
    <w:p w14:paraId="0A4C624E" w14:textId="77777777" w:rsidR="00A15965" w:rsidRDefault="00A15965" w:rsidP="00A15965">
      <w:pPr>
        <w:pStyle w:val="Reference"/>
        <w:keepNext/>
        <w:widowControl w:val="0"/>
        <w:suppressAutoHyphens/>
        <w:overflowPunct/>
        <w:autoSpaceDE/>
        <w:autoSpaceDN/>
        <w:adjustRightInd/>
        <w:textAlignment w:val="auto"/>
        <w:outlineLvl w:val="0"/>
      </w:pPr>
      <w:r>
        <w:t xml:space="preserve">[e] </w:t>
      </w:r>
      <w:r w:rsidRPr="00395F1F">
        <w:t>R1-1806750, “Considerations on random access for NTN”, Samsung,</w:t>
      </w:r>
      <w:r>
        <w:t xml:space="preserve"> </w:t>
      </w:r>
      <w:r w:rsidRPr="00395F1F">
        <w:t xml:space="preserve">3GPP TSG RAN WG1 Meeting #93, </w:t>
      </w:r>
      <w:proofErr w:type="spellStart"/>
      <w:r w:rsidRPr="00395F1F">
        <w:t>Busan</w:t>
      </w:r>
      <w:proofErr w:type="spellEnd"/>
      <w:r w:rsidRPr="00395F1F">
        <w:t>, Korea, May 21st – 25th, 2018</w:t>
      </w:r>
      <w:r>
        <w:t>.</w:t>
      </w:r>
    </w:p>
    <w:p w14:paraId="2F640C0D" w14:textId="77777777" w:rsidR="00A15965" w:rsidRDefault="00A15965" w:rsidP="00A15965">
      <w:pPr>
        <w:pStyle w:val="Reference"/>
        <w:keepNext/>
        <w:widowControl w:val="0"/>
        <w:suppressAutoHyphens/>
        <w:overflowPunct/>
        <w:autoSpaceDE/>
        <w:autoSpaceDN/>
        <w:adjustRightInd/>
        <w:textAlignment w:val="auto"/>
        <w:outlineLvl w:val="0"/>
      </w:pPr>
      <w:r w:rsidRPr="00395F1F">
        <w:t>[</w:t>
      </w:r>
      <w:r>
        <w:t>f</w:t>
      </w:r>
      <w:r w:rsidRPr="00395F1F">
        <w:t xml:space="preserve">] </w:t>
      </w:r>
      <w:r>
        <w:t>R1-1806768 “Considerations on timing advance and random a</w:t>
      </w:r>
      <w:r w:rsidRPr="00395F1F">
        <w:t>ccess for NTN”, Nokia, Nokia Shanghai Bell</w:t>
      </w:r>
      <w:bookmarkStart w:id="14" w:name="_Hlk490136987"/>
      <w:bookmarkEnd w:id="14"/>
      <w:r w:rsidRPr="00395F1F">
        <w:t>,</w:t>
      </w:r>
      <w:r>
        <w:t xml:space="preserve"> </w:t>
      </w:r>
      <w:r w:rsidRPr="00395F1F">
        <w:t>3GPP T</w:t>
      </w:r>
      <w:bookmarkStart w:id="15" w:name="_Ref452454252"/>
      <w:bookmarkEnd w:id="15"/>
      <w:r w:rsidRPr="00395F1F">
        <w:t xml:space="preserve">SG RAN WG1 Meeting #93, </w:t>
      </w:r>
      <w:proofErr w:type="spellStart"/>
      <w:r w:rsidRPr="00395F1F">
        <w:t>Busan</w:t>
      </w:r>
      <w:proofErr w:type="spellEnd"/>
      <w:r w:rsidRPr="00395F1F">
        <w:t>, Korea, May 21st – 25th, 2018</w:t>
      </w:r>
      <w:r>
        <w:t>.</w:t>
      </w:r>
    </w:p>
    <w:p w14:paraId="047B9BBC" w14:textId="77777777" w:rsidR="00CC59C3" w:rsidRDefault="00CC59C3" w:rsidP="00930103">
      <w:pPr>
        <w:rPr>
          <w:lang w:val="en-GB"/>
        </w:rPr>
      </w:pPr>
    </w:p>
    <w:p w14:paraId="356C4FDD" w14:textId="77777777" w:rsidR="00426BC6" w:rsidRDefault="00426BC6" w:rsidP="00930103">
      <w:pPr>
        <w:rPr>
          <w:lang w:val="en-GB"/>
        </w:rPr>
      </w:pPr>
    </w:p>
    <w:p w14:paraId="17409506" w14:textId="77777777" w:rsidR="00426BC6" w:rsidRPr="00C758CF" w:rsidRDefault="00426BC6" w:rsidP="00930103">
      <w:pPr>
        <w:rPr>
          <w:lang w:val="en-GB"/>
        </w:rPr>
      </w:pPr>
    </w:p>
    <w:p w14:paraId="15121DB1" w14:textId="77777777" w:rsidR="00CC59C3" w:rsidRDefault="00CC59C3" w:rsidP="00930103"/>
    <w:p w14:paraId="2B1CBB26" w14:textId="77777777" w:rsidR="00866265" w:rsidRPr="00540422" w:rsidRDefault="00866265" w:rsidP="00144E5C">
      <w:pPr>
        <w:rPr>
          <w:sz w:val="24"/>
          <w:szCs w:val="24"/>
          <w:lang w:val="en-GB"/>
        </w:rPr>
      </w:pPr>
    </w:p>
    <w:sectPr w:rsidR="00866265" w:rsidRPr="00540422">
      <w:pgSz w:w="12240" w:h="15840"/>
      <w:pgMar w:top="1440" w:right="1440" w:bottom="1440" w:left="1440" w:header="0" w:footer="0" w:gutter="0"/>
      <w:cols w:space="720"/>
      <w:formProt w:val="0"/>
      <w:docGrid w:linePitch="360" w:charSpace="-204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Nicolas" w:date="2018-05-24T11:15:00Z" w:initials="nc">
    <w:p w14:paraId="0C0DE2F0" w14:textId="5958ACA8" w:rsidR="00085C5F" w:rsidRDefault="00085C5F">
      <w:pPr>
        <w:pStyle w:val="Commentaire"/>
      </w:pPr>
      <w:r>
        <w:rPr>
          <w:rStyle w:val="Marquedecommentaire"/>
        </w:rPr>
        <w:annotationRef/>
      </w:r>
      <w:r>
        <w:t>HNS to complete</w:t>
      </w:r>
    </w:p>
  </w:comment>
  <w:comment w:id="13" w:author="Nicolas" w:date="2018-05-25T06:41:00Z" w:initials="nc">
    <w:p w14:paraId="509A2411" w14:textId="3C82FEEF" w:rsidR="009D59EB" w:rsidRDefault="009D59EB" w:rsidP="009D59EB">
      <w:pPr>
        <w:pStyle w:val="Commentaire"/>
      </w:pPr>
      <w:r>
        <w:rPr>
          <w:rStyle w:val="Marquedecommentaire"/>
        </w:rPr>
        <w:annotationRef/>
      </w:r>
      <w:r>
        <w:t xml:space="preserve">Fraunhofer IIS to </w:t>
      </w:r>
      <w:r w:rsidR="00C20AC5">
        <w:t>revuew highlighting only the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94D997" w15:done="0"/>
  <w15:commentEx w15:paraId="4D63A495" w15:done="0"/>
  <w15:commentEx w15:paraId="0C0DE2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CAEC4" w14:textId="77777777" w:rsidR="00510CA7" w:rsidRDefault="00510CA7" w:rsidP="00691945">
      <w:pPr>
        <w:spacing w:after="0" w:line="240" w:lineRule="auto"/>
      </w:pPr>
      <w:r>
        <w:separator/>
      </w:r>
    </w:p>
  </w:endnote>
  <w:endnote w:type="continuationSeparator" w:id="0">
    <w:p w14:paraId="38C4CBC3" w14:textId="77777777" w:rsidR="00510CA7" w:rsidRDefault="00510CA7" w:rsidP="00691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9837E" w14:textId="77777777" w:rsidR="00510CA7" w:rsidRDefault="00510CA7" w:rsidP="00691945">
      <w:pPr>
        <w:spacing w:after="0" w:line="240" w:lineRule="auto"/>
      </w:pPr>
      <w:r>
        <w:separator/>
      </w:r>
    </w:p>
  </w:footnote>
  <w:footnote w:type="continuationSeparator" w:id="0">
    <w:p w14:paraId="70F5ECBC" w14:textId="77777777" w:rsidR="00510CA7" w:rsidRDefault="00510CA7" w:rsidP="006919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57976"/>
    <w:multiLevelType w:val="hybridMultilevel"/>
    <w:tmpl w:val="CD44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9646E"/>
    <w:multiLevelType w:val="hybridMultilevel"/>
    <w:tmpl w:val="23F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nsid w:val="1AF60BDD"/>
    <w:multiLevelType w:val="hybridMultilevel"/>
    <w:tmpl w:val="BE823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1560F"/>
    <w:multiLevelType w:val="hybridMultilevel"/>
    <w:tmpl w:val="A276F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F511D93"/>
    <w:multiLevelType w:val="hybridMultilevel"/>
    <w:tmpl w:val="76BA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467A4E"/>
    <w:multiLevelType w:val="multilevel"/>
    <w:tmpl w:val="C316B772"/>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F4B110A"/>
    <w:multiLevelType w:val="hybridMultilevel"/>
    <w:tmpl w:val="E31A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29403C"/>
    <w:multiLevelType w:val="hybridMultilevel"/>
    <w:tmpl w:val="FF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43B9A"/>
    <w:multiLevelType w:val="hybridMultilevel"/>
    <w:tmpl w:val="6F2C8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3C0510"/>
    <w:multiLevelType w:val="hybridMultilevel"/>
    <w:tmpl w:val="BEE2546A"/>
    <w:lvl w:ilvl="0" w:tplc="E6447DB4">
      <w:start w:val="7"/>
      <w:numFmt w:val="bullet"/>
      <w:lvlText w:val="-"/>
      <w:lvlJc w:val="left"/>
      <w:pPr>
        <w:ind w:left="1800" w:hanging="360"/>
      </w:pPr>
      <w:rPr>
        <w:rFonts w:ascii="Calibri" w:eastAsiaTheme="minorEastAsia"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F6E0FFD"/>
    <w:multiLevelType w:val="hybridMultilevel"/>
    <w:tmpl w:val="0616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F274D11"/>
    <w:multiLevelType w:val="hybridMultilevel"/>
    <w:tmpl w:val="75BE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441B1A"/>
    <w:multiLevelType w:val="hybridMultilevel"/>
    <w:tmpl w:val="DB443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665C2A8E"/>
    <w:multiLevelType w:val="hybridMultilevel"/>
    <w:tmpl w:val="98FA2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627A31"/>
    <w:multiLevelType w:val="hybridMultilevel"/>
    <w:tmpl w:val="F38E2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F60E06"/>
    <w:multiLevelType w:val="hybridMultilevel"/>
    <w:tmpl w:val="70DE7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6EA91044"/>
    <w:multiLevelType w:val="hybridMultilevel"/>
    <w:tmpl w:val="551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437902"/>
    <w:multiLevelType w:val="hybridMultilevel"/>
    <w:tmpl w:val="3B18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337590"/>
    <w:multiLevelType w:val="multilevel"/>
    <w:tmpl w:val="E9DE8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4B47E81"/>
    <w:multiLevelType w:val="hybridMultilevel"/>
    <w:tmpl w:val="C37C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F13867"/>
    <w:multiLevelType w:val="hybridMultilevel"/>
    <w:tmpl w:val="F9722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DF61C26"/>
    <w:multiLevelType w:val="hybridMultilevel"/>
    <w:tmpl w:val="6ADCFF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6"/>
  </w:num>
  <w:num w:numId="4">
    <w:abstractNumId w:val="0"/>
  </w:num>
  <w:num w:numId="5">
    <w:abstractNumId w:val="17"/>
  </w:num>
  <w:num w:numId="6">
    <w:abstractNumId w:val="7"/>
  </w:num>
  <w:num w:numId="7">
    <w:abstractNumId w:val="22"/>
  </w:num>
  <w:num w:numId="8">
    <w:abstractNumId w:val="11"/>
  </w:num>
  <w:num w:numId="9">
    <w:abstractNumId w:val="19"/>
  </w:num>
  <w:num w:numId="10">
    <w:abstractNumId w:val="5"/>
  </w:num>
  <w:num w:numId="11">
    <w:abstractNumId w:val="14"/>
  </w:num>
  <w:num w:numId="12">
    <w:abstractNumId w:val="1"/>
  </w:num>
  <w:num w:numId="13">
    <w:abstractNumId w:val="20"/>
  </w:num>
  <w:num w:numId="14">
    <w:abstractNumId w:val="3"/>
  </w:num>
  <w:num w:numId="15">
    <w:abstractNumId w:val="8"/>
  </w:num>
  <w:num w:numId="16">
    <w:abstractNumId w:val="9"/>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3"/>
  </w:num>
  <w:num w:numId="33">
    <w:abstractNumId w:val="24"/>
  </w:num>
  <w:num w:numId="34">
    <w:abstractNumId w:val="10"/>
  </w:num>
  <w:num w:numId="35">
    <w:abstractNumId w:val="4"/>
  </w:num>
  <w:num w:numId="36">
    <w:abstractNumId w:val="15"/>
  </w:num>
  <w:num w:numId="37">
    <w:abstractNumId w:val="13"/>
  </w:num>
  <w:num w:numId="3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02CE"/>
    <w:rsid w:val="0000094D"/>
    <w:rsid w:val="000012F7"/>
    <w:rsid w:val="000065E9"/>
    <w:rsid w:val="000137C6"/>
    <w:rsid w:val="00017AD4"/>
    <w:rsid w:val="00043FFC"/>
    <w:rsid w:val="00044144"/>
    <w:rsid w:val="00063583"/>
    <w:rsid w:val="0006659C"/>
    <w:rsid w:val="00067D88"/>
    <w:rsid w:val="00071A82"/>
    <w:rsid w:val="00075877"/>
    <w:rsid w:val="00080661"/>
    <w:rsid w:val="000838C0"/>
    <w:rsid w:val="00085C5F"/>
    <w:rsid w:val="00086D5D"/>
    <w:rsid w:val="0009253C"/>
    <w:rsid w:val="00095119"/>
    <w:rsid w:val="000A57B3"/>
    <w:rsid w:val="000B0F34"/>
    <w:rsid w:val="000C2128"/>
    <w:rsid w:val="000C66E2"/>
    <w:rsid w:val="000C764E"/>
    <w:rsid w:val="000C7967"/>
    <w:rsid w:val="000D0E48"/>
    <w:rsid w:val="000D24E4"/>
    <w:rsid w:val="000D30D6"/>
    <w:rsid w:val="000D5937"/>
    <w:rsid w:val="000D686F"/>
    <w:rsid w:val="000E0A08"/>
    <w:rsid w:val="000E4672"/>
    <w:rsid w:val="000E7097"/>
    <w:rsid w:val="000F582D"/>
    <w:rsid w:val="000F5D06"/>
    <w:rsid w:val="00102F4E"/>
    <w:rsid w:val="00115DCF"/>
    <w:rsid w:val="00130EF1"/>
    <w:rsid w:val="00131E58"/>
    <w:rsid w:val="00132D6A"/>
    <w:rsid w:val="001342F0"/>
    <w:rsid w:val="0014461D"/>
    <w:rsid w:val="00144E5C"/>
    <w:rsid w:val="001474B0"/>
    <w:rsid w:val="00153FD9"/>
    <w:rsid w:val="00157C07"/>
    <w:rsid w:val="001673AF"/>
    <w:rsid w:val="00171046"/>
    <w:rsid w:val="00171898"/>
    <w:rsid w:val="00184408"/>
    <w:rsid w:val="001A202F"/>
    <w:rsid w:val="001A2A0B"/>
    <w:rsid w:val="001A3615"/>
    <w:rsid w:val="001B4199"/>
    <w:rsid w:val="001B72AD"/>
    <w:rsid w:val="001C5C06"/>
    <w:rsid w:val="001C65A3"/>
    <w:rsid w:val="001C72A0"/>
    <w:rsid w:val="001D44F3"/>
    <w:rsid w:val="001D6677"/>
    <w:rsid w:val="001F2D5B"/>
    <w:rsid w:val="001F4EBF"/>
    <w:rsid w:val="0020137C"/>
    <w:rsid w:val="00206FC7"/>
    <w:rsid w:val="00210AD8"/>
    <w:rsid w:val="00213A0A"/>
    <w:rsid w:val="00221C40"/>
    <w:rsid w:val="002233ED"/>
    <w:rsid w:val="00240BC1"/>
    <w:rsid w:val="002468D2"/>
    <w:rsid w:val="00260D7D"/>
    <w:rsid w:val="0026462F"/>
    <w:rsid w:val="002670B4"/>
    <w:rsid w:val="0027189F"/>
    <w:rsid w:val="0027302B"/>
    <w:rsid w:val="00281705"/>
    <w:rsid w:val="00281D3F"/>
    <w:rsid w:val="002844FA"/>
    <w:rsid w:val="0029325E"/>
    <w:rsid w:val="002A403C"/>
    <w:rsid w:val="002A7955"/>
    <w:rsid w:val="002B2411"/>
    <w:rsid w:val="002C0769"/>
    <w:rsid w:val="002D004E"/>
    <w:rsid w:val="002D3602"/>
    <w:rsid w:val="002D3B3D"/>
    <w:rsid w:val="002D4B02"/>
    <w:rsid w:val="002D5B16"/>
    <w:rsid w:val="002D5BE5"/>
    <w:rsid w:val="002F07B1"/>
    <w:rsid w:val="002F6E43"/>
    <w:rsid w:val="002F7C1B"/>
    <w:rsid w:val="00305919"/>
    <w:rsid w:val="0031303F"/>
    <w:rsid w:val="00320043"/>
    <w:rsid w:val="003227E6"/>
    <w:rsid w:val="003240FB"/>
    <w:rsid w:val="003335BA"/>
    <w:rsid w:val="00342D1F"/>
    <w:rsid w:val="00344701"/>
    <w:rsid w:val="00345773"/>
    <w:rsid w:val="00346D15"/>
    <w:rsid w:val="003511C5"/>
    <w:rsid w:val="00351D62"/>
    <w:rsid w:val="00374D40"/>
    <w:rsid w:val="0038165A"/>
    <w:rsid w:val="00381B32"/>
    <w:rsid w:val="00384240"/>
    <w:rsid w:val="0038486A"/>
    <w:rsid w:val="003854EC"/>
    <w:rsid w:val="00386033"/>
    <w:rsid w:val="00392088"/>
    <w:rsid w:val="00393D3A"/>
    <w:rsid w:val="00393F36"/>
    <w:rsid w:val="00393FE8"/>
    <w:rsid w:val="00395108"/>
    <w:rsid w:val="00396CA1"/>
    <w:rsid w:val="003A0B62"/>
    <w:rsid w:val="003A255A"/>
    <w:rsid w:val="003A7BBE"/>
    <w:rsid w:val="003B3321"/>
    <w:rsid w:val="003B3EAC"/>
    <w:rsid w:val="003B7185"/>
    <w:rsid w:val="003D741E"/>
    <w:rsid w:val="003E0439"/>
    <w:rsid w:val="003E1B5E"/>
    <w:rsid w:val="003E61F8"/>
    <w:rsid w:val="003E6FBC"/>
    <w:rsid w:val="003E790D"/>
    <w:rsid w:val="003E7D1D"/>
    <w:rsid w:val="00407B4A"/>
    <w:rsid w:val="00407BEF"/>
    <w:rsid w:val="0041097C"/>
    <w:rsid w:val="00410D93"/>
    <w:rsid w:val="004120EF"/>
    <w:rsid w:val="00412189"/>
    <w:rsid w:val="00415DB4"/>
    <w:rsid w:val="004177E5"/>
    <w:rsid w:val="00422536"/>
    <w:rsid w:val="00424084"/>
    <w:rsid w:val="00426BC6"/>
    <w:rsid w:val="00426C95"/>
    <w:rsid w:val="00443782"/>
    <w:rsid w:val="00444A12"/>
    <w:rsid w:val="00454190"/>
    <w:rsid w:val="004552A6"/>
    <w:rsid w:val="00456816"/>
    <w:rsid w:val="0046320C"/>
    <w:rsid w:val="0047211E"/>
    <w:rsid w:val="0047583A"/>
    <w:rsid w:val="00480193"/>
    <w:rsid w:val="004867E1"/>
    <w:rsid w:val="00486A9E"/>
    <w:rsid w:val="00487740"/>
    <w:rsid w:val="00490386"/>
    <w:rsid w:val="00493F9B"/>
    <w:rsid w:val="00496523"/>
    <w:rsid w:val="004A1C0A"/>
    <w:rsid w:val="004A34F9"/>
    <w:rsid w:val="004A4D83"/>
    <w:rsid w:val="004B371F"/>
    <w:rsid w:val="004B42A1"/>
    <w:rsid w:val="004C6FA4"/>
    <w:rsid w:val="004D5ED2"/>
    <w:rsid w:val="004D6061"/>
    <w:rsid w:val="004E6BF2"/>
    <w:rsid w:val="004F1543"/>
    <w:rsid w:val="004F5E4E"/>
    <w:rsid w:val="004F7BFD"/>
    <w:rsid w:val="00507E3A"/>
    <w:rsid w:val="00510947"/>
    <w:rsid w:val="00510B38"/>
    <w:rsid w:val="00510CA7"/>
    <w:rsid w:val="00513830"/>
    <w:rsid w:val="00517310"/>
    <w:rsid w:val="00523EC0"/>
    <w:rsid w:val="00524440"/>
    <w:rsid w:val="0054026E"/>
    <w:rsid w:val="00540422"/>
    <w:rsid w:val="0054498D"/>
    <w:rsid w:val="005506A4"/>
    <w:rsid w:val="0055517B"/>
    <w:rsid w:val="0056167A"/>
    <w:rsid w:val="00562110"/>
    <w:rsid w:val="00573E37"/>
    <w:rsid w:val="005772F7"/>
    <w:rsid w:val="00590209"/>
    <w:rsid w:val="00590898"/>
    <w:rsid w:val="005972E4"/>
    <w:rsid w:val="005A24E1"/>
    <w:rsid w:val="005A626B"/>
    <w:rsid w:val="005A77B6"/>
    <w:rsid w:val="005B1C0A"/>
    <w:rsid w:val="005B2E47"/>
    <w:rsid w:val="005B3085"/>
    <w:rsid w:val="005C102D"/>
    <w:rsid w:val="005C28BF"/>
    <w:rsid w:val="005C71DC"/>
    <w:rsid w:val="005D108D"/>
    <w:rsid w:val="005D18F7"/>
    <w:rsid w:val="005D59A1"/>
    <w:rsid w:val="005E281A"/>
    <w:rsid w:val="005F40D9"/>
    <w:rsid w:val="00603BB7"/>
    <w:rsid w:val="00611676"/>
    <w:rsid w:val="006138B4"/>
    <w:rsid w:val="0061787F"/>
    <w:rsid w:val="006337AB"/>
    <w:rsid w:val="0064397D"/>
    <w:rsid w:val="00645EE1"/>
    <w:rsid w:val="00651942"/>
    <w:rsid w:val="00651ED3"/>
    <w:rsid w:val="006523E7"/>
    <w:rsid w:val="00652C20"/>
    <w:rsid w:val="00662FD9"/>
    <w:rsid w:val="00664095"/>
    <w:rsid w:val="00664529"/>
    <w:rsid w:val="00673D04"/>
    <w:rsid w:val="00676B1D"/>
    <w:rsid w:val="00683D8D"/>
    <w:rsid w:val="00685FA6"/>
    <w:rsid w:val="00690305"/>
    <w:rsid w:val="00690AE3"/>
    <w:rsid w:val="006910ED"/>
    <w:rsid w:val="00691945"/>
    <w:rsid w:val="00693A82"/>
    <w:rsid w:val="006962F5"/>
    <w:rsid w:val="00697A90"/>
    <w:rsid w:val="006A1D8B"/>
    <w:rsid w:val="006A504A"/>
    <w:rsid w:val="006B1F28"/>
    <w:rsid w:val="006B491D"/>
    <w:rsid w:val="006B5427"/>
    <w:rsid w:val="006C17D2"/>
    <w:rsid w:val="006C65A2"/>
    <w:rsid w:val="006D1226"/>
    <w:rsid w:val="006D7CFF"/>
    <w:rsid w:val="006D7DA6"/>
    <w:rsid w:val="006E14CB"/>
    <w:rsid w:val="006E1A29"/>
    <w:rsid w:val="006E6D7E"/>
    <w:rsid w:val="006F1CEE"/>
    <w:rsid w:val="006F2313"/>
    <w:rsid w:val="00703C8F"/>
    <w:rsid w:val="00712D36"/>
    <w:rsid w:val="007140F1"/>
    <w:rsid w:val="0071444E"/>
    <w:rsid w:val="0071701F"/>
    <w:rsid w:val="00732B36"/>
    <w:rsid w:val="007332D6"/>
    <w:rsid w:val="00733B28"/>
    <w:rsid w:val="00746EE6"/>
    <w:rsid w:val="0074765F"/>
    <w:rsid w:val="00757790"/>
    <w:rsid w:val="00763305"/>
    <w:rsid w:val="007638DE"/>
    <w:rsid w:val="00772D38"/>
    <w:rsid w:val="00777734"/>
    <w:rsid w:val="007810CA"/>
    <w:rsid w:val="00783339"/>
    <w:rsid w:val="00793929"/>
    <w:rsid w:val="007A22B7"/>
    <w:rsid w:val="007B1713"/>
    <w:rsid w:val="007B6670"/>
    <w:rsid w:val="007D7676"/>
    <w:rsid w:val="007E0AE3"/>
    <w:rsid w:val="00811666"/>
    <w:rsid w:val="00822EA0"/>
    <w:rsid w:val="00826067"/>
    <w:rsid w:val="0083453B"/>
    <w:rsid w:val="008350E7"/>
    <w:rsid w:val="008429F6"/>
    <w:rsid w:val="00843D2C"/>
    <w:rsid w:val="0084615A"/>
    <w:rsid w:val="008473C5"/>
    <w:rsid w:val="0086008F"/>
    <w:rsid w:val="00866265"/>
    <w:rsid w:val="00867715"/>
    <w:rsid w:val="00867E14"/>
    <w:rsid w:val="00873702"/>
    <w:rsid w:val="00875933"/>
    <w:rsid w:val="008768A2"/>
    <w:rsid w:val="008904B7"/>
    <w:rsid w:val="00894318"/>
    <w:rsid w:val="00895840"/>
    <w:rsid w:val="008A0A4B"/>
    <w:rsid w:val="008A1AC4"/>
    <w:rsid w:val="008A21A1"/>
    <w:rsid w:val="008A3290"/>
    <w:rsid w:val="008A7367"/>
    <w:rsid w:val="008D553A"/>
    <w:rsid w:val="008E33A3"/>
    <w:rsid w:val="008E54C4"/>
    <w:rsid w:val="008F09AC"/>
    <w:rsid w:val="008F0B36"/>
    <w:rsid w:val="008F13F8"/>
    <w:rsid w:val="008F3D0B"/>
    <w:rsid w:val="008F726E"/>
    <w:rsid w:val="0090723A"/>
    <w:rsid w:val="00923CEE"/>
    <w:rsid w:val="00930103"/>
    <w:rsid w:val="0093315A"/>
    <w:rsid w:val="00950F33"/>
    <w:rsid w:val="00957CD8"/>
    <w:rsid w:val="009600EB"/>
    <w:rsid w:val="0096082D"/>
    <w:rsid w:val="0096501A"/>
    <w:rsid w:val="0096519D"/>
    <w:rsid w:val="00991E59"/>
    <w:rsid w:val="0099655C"/>
    <w:rsid w:val="009B039B"/>
    <w:rsid w:val="009B7DE4"/>
    <w:rsid w:val="009C16A4"/>
    <w:rsid w:val="009C307E"/>
    <w:rsid w:val="009C70A2"/>
    <w:rsid w:val="009D2054"/>
    <w:rsid w:val="009D59EB"/>
    <w:rsid w:val="009E0C9E"/>
    <w:rsid w:val="009E1582"/>
    <w:rsid w:val="00A03816"/>
    <w:rsid w:val="00A0523C"/>
    <w:rsid w:val="00A102C3"/>
    <w:rsid w:val="00A1356F"/>
    <w:rsid w:val="00A13750"/>
    <w:rsid w:val="00A14A76"/>
    <w:rsid w:val="00A15965"/>
    <w:rsid w:val="00A159D4"/>
    <w:rsid w:val="00A2786F"/>
    <w:rsid w:val="00A34ADE"/>
    <w:rsid w:val="00A418E1"/>
    <w:rsid w:val="00A43AF1"/>
    <w:rsid w:val="00A53ACC"/>
    <w:rsid w:val="00A55485"/>
    <w:rsid w:val="00A73F41"/>
    <w:rsid w:val="00A760BF"/>
    <w:rsid w:val="00A803D3"/>
    <w:rsid w:val="00A84201"/>
    <w:rsid w:val="00A91406"/>
    <w:rsid w:val="00AA0923"/>
    <w:rsid w:val="00AA7AE7"/>
    <w:rsid w:val="00AB14FF"/>
    <w:rsid w:val="00AB35DA"/>
    <w:rsid w:val="00AB4AC3"/>
    <w:rsid w:val="00AB65B2"/>
    <w:rsid w:val="00AB679D"/>
    <w:rsid w:val="00AB69F3"/>
    <w:rsid w:val="00AC0E61"/>
    <w:rsid w:val="00AD6A73"/>
    <w:rsid w:val="00AE1290"/>
    <w:rsid w:val="00AE235B"/>
    <w:rsid w:val="00AE6C2C"/>
    <w:rsid w:val="00AF3CEC"/>
    <w:rsid w:val="00AF4E9D"/>
    <w:rsid w:val="00AF6BD5"/>
    <w:rsid w:val="00B01069"/>
    <w:rsid w:val="00B049E7"/>
    <w:rsid w:val="00B05528"/>
    <w:rsid w:val="00B06B8D"/>
    <w:rsid w:val="00B102FF"/>
    <w:rsid w:val="00B10DBB"/>
    <w:rsid w:val="00B11BB9"/>
    <w:rsid w:val="00B12387"/>
    <w:rsid w:val="00B17250"/>
    <w:rsid w:val="00B213E2"/>
    <w:rsid w:val="00B334D1"/>
    <w:rsid w:val="00B33AE2"/>
    <w:rsid w:val="00B3519F"/>
    <w:rsid w:val="00B36C0A"/>
    <w:rsid w:val="00B42535"/>
    <w:rsid w:val="00B447C5"/>
    <w:rsid w:val="00B45C37"/>
    <w:rsid w:val="00B50CC9"/>
    <w:rsid w:val="00B533E7"/>
    <w:rsid w:val="00B641D4"/>
    <w:rsid w:val="00B665C6"/>
    <w:rsid w:val="00B666ED"/>
    <w:rsid w:val="00B7120C"/>
    <w:rsid w:val="00B77E5C"/>
    <w:rsid w:val="00BB00CE"/>
    <w:rsid w:val="00BB1A82"/>
    <w:rsid w:val="00BB5B0B"/>
    <w:rsid w:val="00BC3B8B"/>
    <w:rsid w:val="00BC71C8"/>
    <w:rsid w:val="00BC7216"/>
    <w:rsid w:val="00BD6263"/>
    <w:rsid w:val="00BD77A2"/>
    <w:rsid w:val="00BE2DE0"/>
    <w:rsid w:val="00BE7026"/>
    <w:rsid w:val="00BF17D7"/>
    <w:rsid w:val="00BF2716"/>
    <w:rsid w:val="00BF6989"/>
    <w:rsid w:val="00BF6FBD"/>
    <w:rsid w:val="00C03DBB"/>
    <w:rsid w:val="00C05726"/>
    <w:rsid w:val="00C1017D"/>
    <w:rsid w:val="00C10EE3"/>
    <w:rsid w:val="00C114C0"/>
    <w:rsid w:val="00C134EE"/>
    <w:rsid w:val="00C15601"/>
    <w:rsid w:val="00C16681"/>
    <w:rsid w:val="00C16DAB"/>
    <w:rsid w:val="00C171FC"/>
    <w:rsid w:val="00C20AC5"/>
    <w:rsid w:val="00C24EB3"/>
    <w:rsid w:val="00C37A8A"/>
    <w:rsid w:val="00C463AE"/>
    <w:rsid w:val="00C5073F"/>
    <w:rsid w:val="00C52D24"/>
    <w:rsid w:val="00C53E80"/>
    <w:rsid w:val="00C64F80"/>
    <w:rsid w:val="00C70632"/>
    <w:rsid w:val="00C74A2F"/>
    <w:rsid w:val="00C758CF"/>
    <w:rsid w:val="00C80929"/>
    <w:rsid w:val="00C82756"/>
    <w:rsid w:val="00C86DE1"/>
    <w:rsid w:val="00C92A7B"/>
    <w:rsid w:val="00CA1023"/>
    <w:rsid w:val="00CA2404"/>
    <w:rsid w:val="00CA4D2A"/>
    <w:rsid w:val="00CA7FE2"/>
    <w:rsid w:val="00CC59C3"/>
    <w:rsid w:val="00CD0A5C"/>
    <w:rsid w:val="00CD0E97"/>
    <w:rsid w:val="00CD21CA"/>
    <w:rsid w:val="00CD74D2"/>
    <w:rsid w:val="00CD7BAF"/>
    <w:rsid w:val="00CE3631"/>
    <w:rsid w:val="00CF20D9"/>
    <w:rsid w:val="00CF2A6C"/>
    <w:rsid w:val="00CF4F5E"/>
    <w:rsid w:val="00CF5BD7"/>
    <w:rsid w:val="00D04235"/>
    <w:rsid w:val="00D05097"/>
    <w:rsid w:val="00D06BC1"/>
    <w:rsid w:val="00D11B20"/>
    <w:rsid w:val="00D11D63"/>
    <w:rsid w:val="00D1384E"/>
    <w:rsid w:val="00D13FA7"/>
    <w:rsid w:val="00D15FDD"/>
    <w:rsid w:val="00D30CFA"/>
    <w:rsid w:val="00D33418"/>
    <w:rsid w:val="00D34588"/>
    <w:rsid w:val="00D409D7"/>
    <w:rsid w:val="00D53210"/>
    <w:rsid w:val="00D53F41"/>
    <w:rsid w:val="00D54EFE"/>
    <w:rsid w:val="00D56CBF"/>
    <w:rsid w:val="00D576F5"/>
    <w:rsid w:val="00D67258"/>
    <w:rsid w:val="00D70E12"/>
    <w:rsid w:val="00D72F19"/>
    <w:rsid w:val="00D86516"/>
    <w:rsid w:val="00D911D5"/>
    <w:rsid w:val="00D92775"/>
    <w:rsid w:val="00DA42F2"/>
    <w:rsid w:val="00DA5B63"/>
    <w:rsid w:val="00DA6646"/>
    <w:rsid w:val="00DA76EF"/>
    <w:rsid w:val="00DB05C8"/>
    <w:rsid w:val="00DB1418"/>
    <w:rsid w:val="00DB1C70"/>
    <w:rsid w:val="00DB5E14"/>
    <w:rsid w:val="00DC0BEB"/>
    <w:rsid w:val="00DC6B40"/>
    <w:rsid w:val="00DD061F"/>
    <w:rsid w:val="00DD3051"/>
    <w:rsid w:val="00DD4735"/>
    <w:rsid w:val="00DD6140"/>
    <w:rsid w:val="00DE0556"/>
    <w:rsid w:val="00DE62AB"/>
    <w:rsid w:val="00DF0041"/>
    <w:rsid w:val="00DF575B"/>
    <w:rsid w:val="00E0169B"/>
    <w:rsid w:val="00E141DD"/>
    <w:rsid w:val="00E16C47"/>
    <w:rsid w:val="00E204A2"/>
    <w:rsid w:val="00E22021"/>
    <w:rsid w:val="00E24B4A"/>
    <w:rsid w:val="00E32A33"/>
    <w:rsid w:val="00E436DB"/>
    <w:rsid w:val="00E54CDC"/>
    <w:rsid w:val="00E554A0"/>
    <w:rsid w:val="00E56599"/>
    <w:rsid w:val="00E56D48"/>
    <w:rsid w:val="00E74CA5"/>
    <w:rsid w:val="00E75058"/>
    <w:rsid w:val="00E767D6"/>
    <w:rsid w:val="00E84089"/>
    <w:rsid w:val="00E8674E"/>
    <w:rsid w:val="00E874AD"/>
    <w:rsid w:val="00E94023"/>
    <w:rsid w:val="00E95BF0"/>
    <w:rsid w:val="00EA1D83"/>
    <w:rsid w:val="00EB1172"/>
    <w:rsid w:val="00EB21ED"/>
    <w:rsid w:val="00EC6116"/>
    <w:rsid w:val="00EC664A"/>
    <w:rsid w:val="00EC74E4"/>
    <w:rsid w:val="00ED39B5"/>
    <w:rsid w:val="00ED5C86"/>
    <w:rsid w:val="00EE0329"/>
    <w:rsid w:val="00EE0FB9"/>
    <w:rsid w:val="00EE56E8"/>
    <w:rsid w:val="00EF0412"/>
    <w:rsid w:val="00EF229D"/>
    <w:rsid w:val="00EF253D"/>
    <w:rsid w:val="00EF27B1"/>
    <w:rsid w:val="00EF5937"/>
    <w:rsid w:val="00EF7132"/>
    <w:rsid w:val="00F01405"/>
    <w:rsid w:val="00F0626C"/>
    <w:rsid w:val="00F06E3B"/>
    <w:rsid w:val="00F120A7"/>
    <w:rsid w:val="00F13D9D"/>
    <w:rsid w:val="00F15DC9"/>
    <w:rsid w:val="00F220E0"/>
    <w:rsid w:val="00F22AAF"/>
    <w:rsid w:val="00F24192"/>
    <w:rsid w:val="00F27D22"/>
    <w:rsid w:val="00F30BD9"/>
    <w:rsid w:val="00F36441"/>
    <w:rsid w:val="00F376FB"/>
    <w:rsid w:val="00F40061"/>
    <w:rsid w:val="00F404B6"/>
    <w:rsid w:val="00F44730"/>
    <w:rsid w:val="00F45A3B"/>
    <w:rsid w:val="00F56D2F"/>
    <w:rsid w:val="00F615D0"/>
    <w:rsid w:val="00F616D4"/>
    <w:rsid w:val="00F63F00"/>
    <w:rsid w:val="00F642E9"/>
    <w:rsid w:val="00F66BAF"/>
    <w:rsid w:val="00F66BEC"/>
    <w:rsid w:val="00F74493"/>
    <w:rsid w:val="00F833CE"/>
    <w:rsid w:val="00F8690E"/>
    <w:rsid w:val="00F9208D"/>
    <w:rsid w:val="00F94D4A"/>
    <w:rsid w:val="00FA167B"/>
    <w:rsid w:val="00FA17A6"/>
    <w:rsid w:val="00FB046A"/>
    <w:rsid w:val="00FB0BF8"/>
    <w:rsid w:val="00FB3B52"/>
    <w:rsid w:val="00FB56A3"/>
    <w:rsid w:val="00FB6768"/>
    <w:rsid w:val="00FB6F0C"/>
    <w:rsid w:val="00FC128B"/>
    <w:rsid w:val="00FC34DA"/>
    <w:rsid w:val="00FC5AB8"/>
    <w:rsid w:val="00FD0698"/>
    <w:rsid w:val="00FD0BB6"/>
    <w:rsid w:val="00FE20A9"/>
    <w:rsid w:val="00FF12F3"/>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3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3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4037">
      <w:bodyDiv w:val="1"/>
      <w:marLeft w:val="0"/>
      <w:marRight w:val="0"/>
      <w:marTop w:val="0"/>
      <w:marBottom w:val="0"/>
      <w:divBdr>
        <w:top w:val="none" w:sz="0" w:space="0" w:color="auto"/>
        <w:left w:val="none" w:sz="0" w:space="0" w:color="auto"/>
        <w:bottom w:val="none" w:sz="0" w:space="0" w:color="auto"/>
        <w:right w:val="none" w:sz="0" w:space="0" w:color="auto"/>
      </w:divBdr>
    </w:div>
    <w:div w:id="27417197">
      <w:bodyDiv w:val="1"/>
      <w:marLeft w:val="0"/>
      <w:marRight w:val="0"/>
      <w:marTop w:val="0"/>
      <w:marBottom w:val="0"/>
      <w:divBdr>
        <w:top w:val="none" w:sz="0" w:space="0" w:color="auto"/>
        <w:left w:val="none" w:sz="0" w:space="0" w:color="auto"/>
        <w:bottom w:val="none" w:sz="0" w:space="0" w:color="auto"/>
        <w:right w:val="none" w:sz="0" w:space="0" w:color="auto"/>
      </w:divBdr>
    </w:div>
    <w:div w:id="136260407">
      <w:bodyDiv w:val="1"/>
      <w:marLeft w:val="0"/>
      <w:marRight w:val="0"/>
      <w:marTop w:val="0"/>
      <w:marBottom w:val="0"/>
      <w:divBdr>
        <w:top w:val="none" w:sz="0" w:space="0" w:color="auto"/>
        <w:left w:val="none" w:sz="0" w:space="0" w:color="auto"/>
        <w:bottom w:val="none" w:sz="0" w:space="0" w:color="auto"/>
        <w:right w:val="none" w:sz="0" w:space="0" w:color="auto"/>
      </w:divBdr>
    </w:div>
    <w:div w:id="440342808">
      <w:bodyDiv w:val="1"/>
      <w:marLeft w:val="0"/>
      <w:marRight w:val="0"/>
      <w:marTop w:val="0"/>
      <w:marBottom w:val="0"/>
      <w:divBdr>
        <w:top w:val="none" w:sz="0" w:space="0" w:color="auto"/>
        <w:left w:val="none" w:sz="0" w:space="0" w:color="auto"/>
        <w:bottom w:val="none" w:sz="0" w:space="0" w:color="auto"/>
        <w:right w:val="none" w:sz="0" w:space="0" w:color="auto"/>
      </w:divBdr>
    </w:div>
    <w:div w:id="547188292">
      <w:bodyDiv w:val="1"/>
      <w:marLeft w:val="0"/>
      <w:marRight w:val="0"/>
      <w:marTop w:val="0"/>
      <w:marBottom w:val="0"/>
      <w:divBdr>
        <w:top w:val="none" w:sz="0" w:space="0" w:color="auto"/>
        <w:left w:val="none" w:sz="0" w:space="0" w:color="auto"/>
        <w:bottom w:val="none" w:sz="0" w:space="0" w:color="auto"/>
        <w:right w:val="none" w:sz="0" w:space="0" w:color="auto"/>
      </w:divBdr>
    </w:div>
    <w:div w:id="1051005528">
      <w:bodyDiv w:val="1"/>
      <w:marLeft w:val="0"/>
      <w:marRight w:val="0"/>
      <w:marTop w:val="0"/>
      <w:marBottom w:val="0"/>
      <w:divBdr>
        <w:top w:val="none" w:sz="0" w:space="0" w:color="auto"/>
        <w:left w:val="none" w:sz="0" w:space="0" w:color="auto"/>
        <w:bottom w:val="none" w:sz="0" w:space="0" w:color="auto"/>
        <w:right w:val="none" w:sz="0" w:space="0" w:color="auto"/>
      </w:divBdr>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140684277">
      <w:bodyDiv w:val="1"/>
      <w:marLeft w:val="0"/>
      <w:marRight w:val="0"/>
      <w:marTop w:val="0"/>
      <w:marBottom w:val="0"/>
      <w:divBdr>
        <w:top w:val="none" w:sz="0" w:space="0" w:color="auto"/>
        <w:left w:val="none" w:sz="0" w:space="0" w:color="auto"/>
        <w:bottom w:val="none" w:sz="0" w:space="0" w:color="auto"/>
        <w:right w:val="none" w:sz="0" w:space="0" w:color="auto"/>
      </w:divBdr>
    </w:div>
    <w:div w:id="1417165750">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 w:id="1764564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7.bin"/><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fontTable" Target="fontTable.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oleObject" Target="embeddings/oleObject3.bin"/><Relationship Id="rId31"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hyperlink" Target="http://www.baidu.com/link?url=a_XpuXvum5I6JIX6BJwP70wh5ivnOGUx3Y8ywSGhO6EkdQW_zWRvybLHudFeVpfmAnuPNyJDxyPQslVBKUGax885oT8zGrg0dolkvZA3SoC" TargetMode="External"/><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2E499-CD76-44EE-8BD3-DBB92219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3504</Words>
  <Characters>19973</Characters>
  <Application>Microsoft Office Word</Application>
  <DocSecurity>0</DocSecurity>
  <Lines>166</Lines>
  <Paragraphs>46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Echostar</Company>
  <LinksUpToDate>false</LinksUpToDate>
  <CharactersWithSpaces>23431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Nicolas</cp:lastModifiedBy>
  <cp:revision>9</cp:revision>
  <cp:lastPrinted>2018-05-17T14:10:00Z</cp:lastPrinted>
  <dcterms:created xsi:type="dcterms:W3CDTF">2018-05-25T01:17:00Z</dcterms:created>
  <dcterms:modified xsi:type="dcterms:W3CDTF">2018-05-25T04:42:00Z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